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5969" w14:textId="77777777" w:rsidR="00410F84" w:rsidRPr="008D220A" w:rsidRDefault="009C432D" w:rsidP="00B44C76">
      <w:pPr>
        <w:ind w:left="2160" w:firstLine="720"/>
        <w:rPr>
          <w:b/>
          <w:sz w:val="28"/>
          <w:lang w:val="en-US"/>
        </w:rPr>
      </w:pPr>
      <w:bookmarkStart w:id="0" w:name="_GoBack"/>
      <w:bookmarkEnd w:id="0"/>
      <w:r w:rsidRPr="008D220A">
        <w:rPr>
          <w:noProof/>
          <w:sz w:val="28"/>
          <w:lang w:val="en-US"/>
        </w:rPr>
        <w:drawing>
          <wp:anchor distT="0" distB="0" distL="114300" distR="114300" simplePos="0" relativeHeight="251706368" behindDoc="1" locked="0" layoutInCell="1" allowOverlap="1" wp14:anchorId="248C9984" wp14:editId="40EA1539">
            <wp:simplePos x="0" y="0"/>
            <wp:positionH relativeFrom="column">
              <wp:posOffset>2493645</wp:posOffset>
            </wp:positionH>
            <wp:positionV relativeFrom="paragraph">
              <wp:posOffset>-271145</wp:posOffset>
            </wp:positionV>
            <wp:extent cx="1200150" cy="1410970"/>
            <wp:effectExtent l="0" t="0" r="0" b="0"/>
            <wp:wrapTight wrapText="bothSides">
              <wp:wrapPolygon edited="0">
                <wp:start x="0" y="0"/>
                <wp:lineTo x="0" y="21289"/>
                <wp:lineTo x="21257" y="21289"/>
                <wp:lineTo x="21257" y="0"/>
                <wp:lineTo x="0" y="0"/>
              </wp:wrapPolygon>
            </wp:wrapTight>
            <wp:docPr id="1"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GEF-notag-lowres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410970"/>
                    </a:xfrm>
                    <a:prstGeom prst="rect">
                      <a:avLst/>
                    </a:prstGeom>
                    <a:noFill/>
                    <a:ln>
                      <a:noFill/>
                    </a:ln>
                    <a:extLst/>
                  </pic:spPr>
                </pic:pic>
              </a:graphicData>
            </a:graphic>
          </wp:anchor>
        </w:drawing>
      </w:r>
      <w:r w:rsidRPr="008D220A">
        <w:rPr>
          <w:noProof/>
          <w:sz w:val="28"/>
          <w:lang w:val="en-US"/>
        </w:rPr>
        <w:drawing>
          <wp:anchor distT="0" distB="0" distL="114300" distR="114300" simplePos="0" relativeHeight="251672576" behindDoc="1" locked="0" layoutInCell="1" allowOverlap="1" wp14:anchorId="6F3D155A" wp14:editId="1569223F">
            <wp:simplePos x="0" y="0"/>
            <wp:positionH relativeFrom="column">
              <wp:posOffset>57785</wp:posOffset>
            </wp:positionH>
            <wp:positionV relativeFrom="paragraph">
              <wp:posOffset>-274320</wp:posOffset>
            </wp:positionV>
            <wp:extent cx="949325" cy="1314450"/>
            <wp:effectExtent l="0" t="0" r="3175" b="0"/>
            <wp:wrapNone/>
            <wp:docPr id="3" name="Picture 1" descr="http://upload.wikimedia.org/wikipedia/commons/thumb/9/95/Lesser_Coat_of_Arms_of_Ukraine.svg/85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5/Lesser_Coat_of_Arms_of_Ukraine.svg/85px-Lesser_Coat_of_Arms_of_Ukraine.svg.png"/>
                    <pic:cNvPicPr>
                      <a:picLocks noChangeAspect="1" noChangeArrowheads="1"/>
                    </pic:cNvPicPr>
                  </pic:nvPicPr>
                  <pic:blipFill>
                    <a:blip r:embed="rId12" cstate="print"/>
                    <a:srcRect/>
                    <a:stretch>
                      <a:fillRect/>
                    </a:stretch>
                  </pic:blipFill>
                  <pic:spPr bwMode="auto">
                    <a:xfrm>
                      <a:off x="0" y="0"/>
                      <a:ext cx="949325" cy="1314450"/>
                    </a:xfrm>
                    <a:prstGeom prst="rect">
                      <a:avLst/>
                    </a:prstGeom>
                    <a:noFill/>
                  </pic:spPr>
                </pic:pic>
              </a:graphicData>
            </a:graphic>
          </wp:anchor>
        </w:drawing>
      </w:r>
      <w:r w:rsidR="001B0E46" w:rsidRPr="008D220A">
        <w:rPr>
          <w:noProof/>
          <w:sz w:val="24"/>
          <w:szCs w:val="24"/>
          <w:lang w:val="en-US"/>
        </w:rPr>
        <w:drawing>
          <wp:anchor distT="0" distB="0" distL="114300" distR="114300" simplePos="0" relativeHeight="251675648" behindDoc="0" locked="0" layoutInCell="1" allowOverlap="1" wp14:anchorId="7D538ACC" wp14:editId="0900B1FE">
            <wp:simplePos x="0" y="0"/>
            <wp:positionH relativeFrom="margin">
              <wp:posOffset>5360035</wp:posOffset>
            </wp:positionH>
            <wp:positionV relativeFrom="margin">
              <wp:posOffset>-379730</wp:posOffset>
            </wp:positionV>
            <wp:extent cx="921385" cy="16573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1385" cy="1657350"/>
                    </a:xfrm>
                    <a:prstGeom prst="rect">
                      <a:avLst/>
                    </a:prstGeom>
                    <a:noFill/>
                  </pic:spPr>
                </pic:pic>
              </a:graphicData>
            </a:graphic>
          </wp:anchor>
        </w:drawing>
      </w:r>
      <w:r w:rsidRPr="008D220A">
        <w:rPr>
          <w:b/>
          <w:sz w:val="28"/>
          <w:lang w:val="en-US"/>
        </w:rPr>
        <w:t xml:space="preserve">            </w:t>
      </w:r>
      <w:r w:rsidR="001D1D93" w:rsidRPr="008D220A">
        <w:rPr>
          <w:noProof/>
          <w:lang w:val="en-US"/>
        </w:rPr>
        <mc:AlternateContent>
          <mc:Choice Requires="wps">
            <w:drawing>
              <wp:inline distT="0" distB="0" distL="0" distR="0" wp14:anchorId="7AB916BD" wp14:editId="29AA5D14">
                <wp:extent cx="304800" cy="304800"/>
                <wp:effectExtent l="0" t="0" r="0" b="0"/>
                <wp:docPr id="2" name="Прямоугольник 7" descr="Отображается файл &quot;FullSizeRender.jpg&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64D5D" id="Прямоугольник 7" o:spid="_x0000_s1026" alt="Отображается файл &quot;FullSizeRender.jp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HEumWilAgAAnQQAAA4AAAAAAAAAAAAAAAAALgIAAGRy&#10;cy9lMm9Eb2MueG1sUEsBAi0AFAAGAAgAAAAhAEyg6SzYAAAAAwEAAA8AAAAAAAAAAAAAAAAA/wQA&#10;AGRycy9kb3ducmV2LnhtbFBLBQYAAAAABAAEAPMAAAAEBgAAAAA=&#10;" filled="f" stroked="f">
                <o:lock v:ext="edit" aspectratio="t"/>
                <w10:anchorlock/>
              </v:rect>
            </w:pict>
          </mc:Fallback>
        </mc:AlternateContent>
      </w:r>
    </w:p>
    <w:p w14:paraId="7CDDE463" w14:textId="77777777" w:rsidR="00410F84" w:rsidRPr="008D220A" w:rsidRDefault="001B0E46" w:rsidP="005D72C9">
      <w:pPr>
        <w:jc w:val="center"/>
        <w:rPr>
          <w:sz w:val="28"/>
          <w:lang w:val="en-US"/>
        </w:rPr>
      </w:pPr>
      <w:r w:rsidRPr="008D220A">
        <w:rPr>
          <w:sz w:val="28"/>
          <w:lang w:val="en-US"/>
        </w:rPr>
        <w:t xml:space="preserve"> </w:t>
      </w:r>
    </w:p>
    <w:p w14:paraId="678FA299" w14:textId="77777777" w:rsidR="00410F84" w:rsidRPr="008D220A" w:rsidRDefault="00410F84" w:rsidP="005D72C9">
      <w:pPr>
        <w:jc w:val="center"/>
        <w:rPr>
          <w:sz w:val="28"/>
          <w:lang w:val="en-US"/>
        </w:rPr>
      </w:pPr>
    </w:p>
    <w:p w14:paraId="0C5DB282" w14:textId="77777777" w:rsidR="00410F84" w:rsidRPr="008D220A" w:rsidRDefault="00410F84" w:rsidP="005D72C9">
      <w:pPr>
        <w:jc w:val="center"/>
        <w:rPr>
          <w:sz w:val="28"/>
          <w:lang w:val="en-US"/>
        </w:rPr>
      </w:pPr>
    </w:p>
    <w:p w14:paraId="0195E06D" w14:textId="77777777" w:rsidR="006D5377" w:rsidRPr="008D220A" w:rsidRDefault="006D5377" w:rsidP="005D72C9">
      <w:pPr>
        <w:jc w:val="center"/>
        <w:rPr>
          <w:sz w:val="28"/>
          <w:lang w:val="en-US"/>
        </w:rPr>
      </w:pPr>
    </w:p>
    <w:p w14:paraId="6DCF55BD" w14:textId="77777777" w:rsidR="00410F84" w:rsidRPr="008D220A" w:rsidRDefault="00410F84" w:rsidP="005D72C9">
      <w:pPr>
        <w:jc w:val="center"/>
        <w:rPr>
          <w:sz w:val="28"/>
          <w:lang w:val="en-US"/>
        </w:rPr>
      </w:pPr>
    </w:p>
    <w:p w14:paraId="461930F1" w14:textId="77777777" w:rsidR="00E77FC4" w:rsidRPr="008D220A" w:rsidRDefault="00E77FC4" w:rsidP="005D72C9">
      <w:pPr>
        <w:jc w:val="center"/>
        <w:rPr>
          <w:sz w:val="28"/>
          <w:lang w:val="en-US"/>
        </w:rPr>
      </w:pPr>
    </w:p>
    <w:p w14:paraId="4F77678A" w14:textId="77777777" w:rsidR="005D72C9" w:rsidRPr="008D220A" w:rsidRDefault="008343F9" w:rsidP="005D72C9">
      <w:pPr>
        <w:jc w:val="center"/>
        <w:rPr>
          <w:rStyle w:val="Style1"/>
          <w:rFonts w:asciiTheme="minorHAnsi" w:hAnsiTheme="minorHAnsi"/>
          <w:b/>
          <w:sz w:val="22"/>
          <w:szCs w:val="22"/>
          <w:lang w:val="en-US"/>
        </w:rPr>
      </w:pPr>
      <w:r w:rsidRPr="008D220A">
        <w:rPr>
          <w:rStyle w:val="Style1"/>
          <w:rFonts w:asciiTheme="minorHAnsi" w:hAnsiTheme="minorHAnsi"/>
          <w:b/>
          <w:sz w:val="36"/>
          <w:szCs w:val="36"/>
          <w:lang w:val="en-US"/>
        </w:rPr>
        <w:t>Development and Commercialization of Bio</w:t>
      </w:r>
      <w:r w:rsidR="00DF2166" w:rsidRPr="008D220A">
        <w:rPr>
          <w:rStyle w:val="Style1"/>
          <w:rFonts w:asciiTheme="minorHAnsi" w:hAnsiTheme="minorHAnsi"/>
          <w:b/>
          <w:sz w:val="36"/>
          <w:szCs w:val="36"/>
          <w:lang w:val="en-US"/>
        </w:rPr>
        <w:t>energy</w:t>
      </w:r>
      <w:r w:rsidRPr="008D220A">
        <w:rPr>
          <w:rStyle w:val="Style1"/>
          <w:rFonts w:asciiTheme="minorHAnsi" w:hAnsiTheme="minorHAnsi"/>
          <w:b/>
          <w:sz w:val="36"/>
          <w:szCs w:val="36"/>
          <w:lang w:val="en-US"/>
        </w:rPr>
        <w:t xml:space="preserve"> Technologies in the Municipal Sector in Ukraine </w:t>
      </w:r>
      <w:r w:rsidR="00CD01B2" w:rsidRPr="008D220A">
        <w:rPr>
          <w:rStyle w:val="Style1"/>
          <w:rFonts w:asciiTheme="minorHAnsi" w:hAnsiTheme="minorHAnsi"/>
          <w:b/>
          <w:sz w:val="22"/>
          <w:szCs w:val="22"/>
          <w:lang w:val="en-US"/>
        </w:rPr>
        <w:t xml:space="preserve"> </w:t>
      </w:r>
    </w:p>
    <w:p w14:paraId="32CBF8BE" w14:textId="77777777" w:rsidR="005A6014" w:rsidRPr="008D220A" w:rsidRDefault="005A6014" w:rsidP="005D72C9">
      <w:pPr>
        <w:jc w:val="center"/>
        <w:rPr>
          <w:rStyle w:val="Style1"/>
          <w:rFonts w:asciiTheme="minorHAnsi" w:hAnsiTheme="minorHAnsi"/>
          <w:b/>
          <w:sz w:val="22"/>
          <w:szCs w:val="22"/>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236"/>
        <w:gridCol w:w="5256"/>
      </w:tblGrid>
      <w:tr w:rsidR="008D220A" w:rsidRPr="008D220A" w14:paraId="5998A265" w14:textId="77777777" w:rsidTr="005A6014">
        <w:tc>
          <w:tcPr>
            <w:tcW w:w="4267" w:type="dxa"/>
          </w:tcPr>
          <w:p w14:paraId="5612622B" w14:textId="57920339" w:rsidR="005A6014" w:rsidRPr="008D220A" w:rsidRDefault="005A6014" w:rsidP="005D72C9">
            <w:pPr>
              <w:jc w:val="center"/>
              <w:rPr>
                <w:rStyle w:val="Style1"/>
                <w:rFonts w:asciiTheme="minorHAnsi" w:hAnsiTheme="minorHAnsi"/>
                <w:b/>
                <w:sz w:val="22"/>
                <w:szCs w:val="22"/>
                <w:lang w:val="en-US"/>
              </w:rPr>
            </w:pPr>
            <w:r w:rsidRPr="008D220A">
              <w:rPr>
                <w:b/>
                <w:noProof/>
                <w:sz w:val="28"/>
                <w:lang w:val="en-US"/>
              </w:rPr>
              <w:drawing>
                <wp:inline distT="0" distB="0" distL="0" distR="0" wp14:anchorId="07C18B08" wp14:editId="179280CB">
                  <wp:extent cx="2573079" cy="1871330"/>
                  <wp:effectExtent l="0" t="0" r="0" b="0"/>
                  <wp:docPr id="15" name="Рисунок 15" descr="C:\Users\Наталия\Documents\Recruitment documents\Biomass 2016\Report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Наталия\Documents\Recruitment documents\Biomass 2016\Reports\Рисунок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0" cy="1870363"/>
                          </a:xfrm>
                          <a:prstGeom prst="rect">
                            <a:avLst/>
                          </a:prstGeom>
                          <a:noFill/>
                          <a:ln>
                            <a:noFill/>
                          </a:ln>
                        </pic:spPr>
                      </pic:pic>
                    </a:graphicData>
                  </a:graphic>
                </wp:inline>
              </w:drawing>
            </w:r>
          </w:p>
        </w:tc>
        <w:tc>
          <w:tcPr>
            <w:tcW w:w="236" w:type="dxa"/>
          </w:tcPr>
          <w:p w14:paraId="1A4D00F6" w14:textId="77777777" w:rsidR="005A6014" w:rsidRPr="008D220A" w:rsidRDefault="005A6014" w:rsidP="005D72C9">
            <w:pPr>
              <w:jc w:val="center"/>
              <w:rPr>
                <w:rStyle w:val="Style1"/>
                <w:rFonts w:asciiTheme="minorHAnsi" w:hAnsiTheme="minorHAnsi"/>
                <w:b/>
                <w:sz w:val="22"/>
                <w:szCs w:val="22"/>
                <w:lang w:val="en-US"/>
              </w:rPr>
            </w:pPr>
          </w:p>
        </w:tc>
        <w:tc>
          <w:tcPr>
            <w:tcW w:w="5256" w:type="dxa"/>
          </w:tcPr>
          <w:p w14:paraId="172AA214" w14:textId="6A63B27A" w:rsidR="005A6014" w:rsidRPr="008D220A" w:rsidRDefault="005A6014" w:rsidP="005A6014">
            <w:pPr>
              <w:ind w:left="-109"/>
              <w:jc w:val="center"/>
              <w:rPr>
                <w:rStyle w:val="Style1"/>
                <w:rFonts w:asciiTheme="minorHAnsi" w:hAnsiTheme="minorHAnsi"/>
                <w:b/>
                <w:sz w:val="22"/>
                <w:szCs w:val="22"/>
                <w:lang w:val="en-US"/>
              </w:rPr>
            </w:pPr>
            <w:r w:rsidRPr="008D220A">
              <w:rPr>
                <w:i/>
                <w:noProof/>
                <w:lang w:val="en-US"/>
              </w:rPr>
              <w:drawing>
                <wp:inline distT="0" distB="0" distL="0" distR="0" wp14:anchorId="2DF85CC0" wp14:editId="0DC2DE25">
                  <wp:extent cx="3200400" cy="1871070"/>
                  <wp:effectExtent l="0" t="0" r="0" b="0"/>
                  <wp:docPr id="11" name="Рисунок 11" descr="У Молодові перші плантації енергетичної верби висадять профтехучилищ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 Молодові перші плантації енергетичної верби висадять профтехучилищ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261" cy="1870989"/>
                          </a:xfrm>
                          <a:prstGeom prst="rect">
                            <a:avLst/>
                          </a:prstGeom>
                          <a:noFill/>
                          <a:ln>
                            <a:noFill/>
                          </a:ln>
                        </pic:spPr>
                      </pic:pic>
                    </a:graphicData>
                  </a:graphic>
                </wp:inline>
              </w:drawing>
            </w:r>
          </w:p>
        </w:tc>
      </w:tr>
      <w:tr w:rsidR="008D220A" w:rsidRPr="008D220A" w14:paraId="68D2C974" w14:textId="77777777" w:rsidTr="005A6014">
        <w:tc>
          <w:tcPr>
            <w:tcW w:w="4267" w:type="dxa"/>
          </w:tcPr>
          <w:p w14:paraId="4F9AE152" w14:textId="77777777" w:rsidR="005A6014" w:rsidRPr="008D220A" w:rsidRDefault="005A6014" w:rsidP="005D72C9">
            <w:pPr>
              <w:jc w:val="center"/>
              <w:rPr>
                <w:rStyle w:val="Style1"/>
                <w:rFonts w:asciiTheme="minorHAnsi" w:hAnsiTheme="minorHAnsi"/>
                <w:b/>
                <w:sz w:val="22"/>
                <w:szCs w:val="22"/>
                <w:lang w:val="en-US"/>
              </w:rPr>
            </w:pPr>
          </w:p>
        </w:tc>
        <w:tc>
          <w:tcPr>
            <w:tcW w:w="236" w:type="dxa"/>
          </w:tcPr>
          <w:p w14:paraId="03C2DE76" w14:textId="77777777" w:rsidR="005A6014" w:rsidRPr="008D220A" w:rsidRDefault="005A6014" w:rsidP="005D72C9">
            <w:pPr>
              <w:jc w:val="center"/>
              <w:rPr>
                <w:rStyle w:val="Style1"/>
                <w:rFonts w:asciiTheme="minorHAnsi" w:hAnsiTheme="minorHAnsi"/>
                <w:b/>
                <w:sz w:val="22"/>
                <w:szCs w:val="22"/>
                <w:lang w:val="en-US"/>
              </w:rPr>
            </w:pPr>
          </w:p>
        </w:tc>
        <w:tc>
          <w:tcPr>
            <w:tcW w:w="5256" w:type="dxa"/>
          </w:tcPr>
          <w:p w14:paraId="65DCF5E9" w14:textId="77777777" w:rsidR="005A6014" w:rsidRPr="008D220A" w:rsidRDefault="005A6014" w:rsidP="005D72C9">
            <w:pPr>
              <w:jc w:val="center"/>
              <w:rPr>
                <w:rStyle w:val="Style1"/>
                <w:rFonts w:asciiTheme="minorHAnsi" w:hAnsiTheme="minorHAnsi"/>
                <w:b/>
                <w:sz w:val="22"/>
                <w:szCs w:val="22"/>
                <w:lang w:val="en-US"/>
              </w:rPr>
            </w:pPr>
          </w:p>
        </w:tc>
      </w:tr>
      <w:tr w:rsidR="005A6014" w:rsidRPr="008D220A" w14:paraId="6EAEC33A" w14:textId="77777777" w:rsidTr="005A6014">
        <w:tc>
          <w:tcPr>
            <w:tcW w:w="4267" w:type="dxa"/>
          </w:tcPr>
          <w:p w14:paraId="798750DC" w14:textId="77777777" w:rsidR="005A6014" w:rsidRPr="008D220A" w:rsidRDefault="005A6014" w:rsidP="005D72C9">
            <w:pPr>
              <w:jc w:val="center"/>
              <w:rPr>
                <w:rStyle w:val="Style1"/>
                <w:rFonts w:asciiTheme="minorHAnsi" w:hAnsiTheme="minorHAnsi"/>
                <w:b/>
                <w:sz w:val="22"/>
                <w:szCs w:val="22"/>
                <w:lang w:val="en-US"/>
              </w:rPr>
            </w:pPr>
            <w:r w:rsidRPr="008D220A">
              <w:rPr>
                <w:noProof/>
                <w:lang w:val="en-US"/>
              </w:rPr>
              <w:drawing>
                <wp:inline distT="0" distB="0" distL="0" distR="0" wp14:anchorId="3CFF6617" wp14:editId="2CFC5CD2">
                  <wp:extent cx="2562447" cy="2082629"/>
                  <wp:effectExtent l="0" t="0" r="0" b="0"/>
                  <wp:docPr id="9" name="Рисунок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5385" cy="2085017"/>
                          </a:xfrm>
                          <a:prstGeom prst="rect">
                            <a:avLst/>
                          </a:prstGeom>
                          <a:noFill/>
                          <a:ln>
                            <a:noFill/>
                          </a:ln>
                        </pic:spPr>
                      </pic:pic>
                    </a:graphicData>
                  </a:graphic>
                </wp:inline>
              </w:drawing>
            </w:r>
          </w:p>
        </w:tc>
        <w:tc>
          <w:tcPr>
            <w:tcW w:w="236" w:type="dxa"/>
          </w:tcPr>
          <w:p w14:paraId="57361370" w14:textId="77777777" w:rsidR="005A6014" w:rsidRPr="008D220A" w:rsidRDefault="005A6014" w:rsidP="005D72C9">
            <w:pPr>
              <w:jc w:val="center"/>
              <w:rPr>
                <w:rStyle w:val="Style1"/>
                <w:rFonts w:asciiTheme="minorHAnsi" w:hAnsiTheme="minorHAnsi"/>
                <w:b/>
                <w:sz w:val="22"/>
                <w:szCs w:val="22"/>
                <w:lang w:val="en-US"/>
              </w:rPr>
            </w:pPr>
          </w:p>
        </w:tc>
        <w:tc>
          <w:tcPr>
            <w:tcW w:w="5256" w:type="dxa"/>
          </w:tcPr>
          <w:p w14:paraId="509491EB" w14:textId="77777777" w:rsidR="005A6014" w:rsidRPr="008D220A" w:rsidRDefault="005A6014" w:rsidP="005A6014">
            <w:pPr>
              <w:ind w:left="-109"/>
              <w:jc w:val="center"/>
              <w:rPr>
                <w:rStyle w:val="Style1"/>
                <w:rFonts w:asciiTheme="minorHAnsi" w:hAnsiTheme="minorHAnsi"/>
                <w:b/>
                <w:sz w:val="22"/>
                <w:szCs w:val="22"/>
                <w:lang w:val="en-US"/>
              </w:rPr>
            </w:pPr>
            <w:r w:rsidRPr="008D220A">
              <w:rPr>
                <w:noProof/>
                <w:lang w:val="en-US"/>
              </w:rPr>
              <w:drawing>
                <wp:inline distT="0" distB="0" distL="0" distR="0" wp14:anchorId="68819D4F" wp14:editId="4F7CC24E">
                  <wp:extent cx="3178659" cy="2083982"/>
                  <wp:effectExtent l="0" t="0" r="3175" b="0"/>
                  <wp:docPr id="13" name="Рисунок 13" descr="http://ecotown.com.ua/upload/resize_cache/iblock/81b/640_999999_1/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otown.com.ua/upload/resize_cache/iblock/81b/640_999999_1/N_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6999" cy="2089450"/>
                          </a:xfrm>
                          <a:prstGeom prst="rect">
                            <a:avLst/>
                          </a:prstGeom>
                          <a:noFill/>
                          <a:ln>
                            <a:noFill/>
                          </a:ln>
                        </pic:spPr>
                      </pic:pic>
                    </a:graphicData>
                  </a:graphic>
                </wp:inline>
              </w:drawing>
            </w:r>
          </w:p>
        </w:tc>
      </w:tr>
    </w:tbl>
    <w:p w14:paraId="418486A0" w14:textId="77777777" w:rsidR="00CD215E" w:rsidRPr="008D220A" w:rsidRDefault="00CD215E" w:rsidP="005D72C9">
      <w:pPr>
        <w:jc w:val="center"/>
        <w:rPr>
          <w:rStyle w:val="Style1"/>
          <w:rFonts w:asciiTheme="minorHAnsi" w:hAnsiTheme="minorHAnsi"/>
          <w:b/>
          <w:sz w:val="22"/>
          <w:szCs w:val="22"/>
          <w:lang w:val="en-US"/>
        </w:rPr>
      </w:pPr>
    </w:p>
    <w:p w14:paraId="142D7A06" w14:textId="77777777" w:rsidR="008C757F" w:rsidRPr="008D220A" w:rsidRDefault="008C757F" w:rsidP="005D72C9">
      <w:pPr>
        <w:jc w:val="center"/>
        <w:rPr>
          <w:rFonts w:asciiTheme="minorHAnsi" w:hAnsiTheme="minorHAnsi" w:cs="Arial"/>
          <w:b/>
          <w:sz w:val="36"/>
          <w:szCs w:val="36"/>
          <w:lang w:val="en-US"/>
        </w:rPr>
      </w:pPr>
    </w:p>
    <w:p w14:paraId="2FAF001D" w14:textId="77777777" w:rsidR="00816489" w:rsidRPr="008D220A" w:rsidRDefault="00816489" w:rsidP="005D72C9">
      <w:pPr>
        <w:jc w:val="center"/>
        <w:rPr>
          <w:rFonts w:ascii="Arial" w:hAnsi="Arial" w:cs="Arial"/>
          <w:sz w:val="24"/>
          <w:szCs w:val="24"/>
          <w:lang w:val="en-US"/>
        </w:rPr>
      </w:pPr>
    </w:p>
    <w:p w14:paraId="67A41A65" w14:textId="77777777" w:rsidR="00816489" w:rsidRPr="008D220A" w:rsidRDefault="00816489" w:rsidP="005D72C9">
      <w:pPr>
        <w:jc w:val="center"/>
        <w:rPr>
          <w:rFonts w:ascii="Arial" w:hAnsi="Arial" w:cs="Arial"/>
          <w:sz w:val="24"/>
          <w:szCs w:val="24"/>
          <w:lang w:val="en-US"/>
        </w:rPr>
      </w:pPr>
    </w:p>
    <w:p w14:paraId="1D9587EF" w14:textId="331C7424" w:rsidR="004F20A2" w:rsidRPr="008D220A" w:rsidRDefault="0077064E" w:rsidP="004F20A2">
      <w:pPr>
        <w:jc w:val="center"/>
        <w:rPr>
          <w:rFonts w:asciiTheme="minorHAnsi" w:hAnsiTheme="minorHAnsi" w:cs="Arial"/>
          <w:b/>
          <w:sz w:val="40"/>
          <w:szCs w:val="40"/>
          <w:lang w:val="en-US"/>
        </w:rPr>
      </w:pPr>
      <w:r w:rsidRPr="008D220A">
        <w:rPr>
          <w:rFonts w:asciiTheme="minorHAnsi" w:hAnsiTheme="minorHAnsi" w:cs="Arial"/>
          <w:b/>
          <w:sz w:val="40"/>
          <w:szCs w:val="40"/>
          <w:lang w:val="en-US"/>
        </w:rPr>
        <w:t xml:space="preserve">Project </w:t>
      </w:r>
      <w:r w:rsidR="00CD01B2" w:rsidRPr="008D220A">
        <w:rPr>
          <w:rFonts w:asciiTheme="minorHAnsi" w:hAnsiTheme="minorHAnsi" w:cs="Arial"/>
          <w:b/>
          <w:sz w:val="40"/>
          <w:szCs w:val="40"/>
          <w:lang w:val="en-US"/>
        </w:rPr>
        <w:t>Progress</w:t>
      </w:r>
      <w:r w:rsidR="00DA0C72" w:rsidRPr="008D220A">
        <w:rPr>
          <w:rFonts w:asciiTheme="minorHAnsi" w:hAnsiTheme="minorHAnsi" w:cs="Arial"/>
          <w:b/>
          <w:sz w:val="40"/>
          <w:szCs w:val="40"/>
          <w:lang w:val="en-US"/>
        </w:rPr>
        <w:t xml:space="preserve"> </w:t>
      </w:r>
      <w:r w:rsidR="00A37398" w:rsidRPr="008D220A">
        <w:rPr>
          <w:rFonts w:asciiTheme="minorHAnsi" w:hAnsiTheme="minorHAnsi" w:cs="Arial"/>
          <w:b/>
          <w:sz w:val="40"/>
          <w:szCs w:val="40"/>
          <w:lang w:val="en-US"/>
        </w:rPr>
        <w:t xml:space="preserve">Report </w:t>
      </w:r>
      <w:r w:rsidR="00F57553" w:rsidRPr="008D220A">
        <w:rPr>
          <w:rFonts w:asciiTheme="minorHAnsi" w:hAnsiTheme="minorHAnsi" w:cs="Arial"/>
          <w:b/>
          <w:sz w:val="40"/>
          <w:szCs w:val="40"/>
          <w:lang w:val="en-US"/>
        </w:rPr>
        <w:t>201</w:t>
      </w:r>
      <w:r w:rsidR="00D6078D" w:rsidRPr="008D220A">
        <w:rPr>
          <w:rFonts w:asciiTheme="minorHAnsi" w:hAnsiTheme="minorHAnsi" w:cs="Arial"/>
          <w:b/>
          <w:sz w:val="40"/>
          <w:szCs w:val="40"/>
          <w:lang w:val="en-US"/>
        </w:rPr>
        <w:t>7</w:t>
      </w:r>
    </w:p>
    <w:p w14:paraId="0C8C9D3D" w14:textId="77777777" w:rsidR="00E77FC4" w:rsidRPr="008D220A" w:rsidRDefault="00E77FC4" w:rsidP="005D72C9">
      <w:pPr>
        <w:jc w:val="center"/>
        <w:rPr>
          <w:rFonts w:asciiTheme="minorHAnsi" w:hAnsiTheme="minorHAnsi" w:cs="Arial"/>
          <w:sz w:val="24"/>
          <w:szCs w:val="24"/>
          <w:lang w:val="en-US"/>
        </w:rPr>
      </w:pPr>
    </w:p>
    <w:p w14:paraId="0978F698" w14:textId="77777777" w:rsidR="00E77FC4" w:rsidRPr="008D220A" w:rsidRDefault="00E77FC4" w:rsidP="005D72C9">
      <w:pPr>
        <w:jc w:val="center"/>
        <w:rPr>
          <w:rFonts w:asciiTheme="minorHAnsi" w:hAnsiTheme="minorHAnsi" w:cs="Arial"/>
          <w:sz w:val="24"/>
          <w:szCs w:val="24"/>
          <w:lang w:val="en-US"/>
        </w:rPr>
      </w:pPr>
    </w:p>
    <w:p w14:paraId="0098D900" w14:textId="77777777" w:rsidR="005D72C9" w:rsidRPr="008D220A" w:rsidRDefault="005D72C9" w:rsidP="005D72C9">
      <w:pPr>
        <w:jc w:val="center"/>
        <w:rPr>
          <w:rFonts w:asciiTheme="minorHAnsi" w:hAnsiTheme="minorHAnsi" w:cs="Arial"/>
          <w:sz w:val="24"/>
          <w:szCs w:val="24"/>
          <w:lang w:val="en-US"/>
        </w:rPr>
      </w:pPr>
      <w:r w:rsidRPr="008D220A">
        <w:rPr>
          <w:rFonts w:asciiTheme="minorHAnsi" w:hAnsiTheme="minorHAnsi" w:cs="Arial"/>
          <w:sz w:val="24"/>
          <w:szCs w:val="24"/>
          <w:lang w:val="en-US"/>
        </w:rPr>
        <w:t>_______________________________________________</w:t>
      </w:r>
    </w:p>
    <w:p w14:paraId="02C975D3" w14:textId="65A04AB7" w:rsidR="005D72C9" w:rsidRPr="008D220A" w:rsidRDefault="008343F9" w:rsidP="005D72C9">
      <w:pPr>
        <w:jc w:val="center"/>
        <w:rPr>
          <w:rFonts w:asciiTheme="minorHAnsi" w:hAnsiTheme="minorHAnsi" w:cs="Arial"/>
          <w:b/>
          <w:sz w:val="32"/>
          <w:szCs w:val="32"/>
          <w:lang w:val="en-US"/>
        </w:rPr>
      </w:pPr>
      <w:r w:rsidRPr="008D220A">
        <w:rPr>
          <w:rFonts w:asciiTheme="minorHAnsi" w:hAnsiTheme="minorHAnsi" w:cs="Arial"/>
          <w:b/>
          <w:sz w:val="32"/>
          <w:szCs w:val="32"/>
          <w:lang w:val="en-US"/>
        </w:rPr>
        <w:t>Kyiv 201</w:t>
      </w:r>
      <w:r w:rsidR="00D6078D" w:rsidRPr="008D220A">
        <w:rPr>
          <w:rFonts w:asciiTheme="minorHAnsi" w:hAnsiTheme="minorHAnsi" w:cs="Arial"/>
          <w:b/>
          <w:sz w:val="32"/>
          <w:szCs w:val="32"/>
          <w:lang w:val="en-US"/>
        </w:rPr>
        <w:t>7</w:t>
      </w:r>
    </w:p>
    <w:p w14:paraId="05B9C233" w14:textId="77777777" w:rsidR="00F2755D" w:rsidRPr="008D220A" w:rsidRDefault="00F2755D" w:rsidP="005D72C9">
      <w:pPr>
        <w:jc w:val="center"/>
        <w:rPr>
          <w:rFonts w:ascii="Myriad Pro" w:hAnsi="Myriad Pro" w:cs="Arial"/>
          <w:b/>
          <w:sz w:val="32"/>
          <w:szCs w:val="32"/>
          <w:lang w:val="en-US"/>
        </w:rPr>
      </w:pPr>
    </w:p>
    <w:p w14:paraId="425BD363" w14:textId="77777777" w:rsidR="00F2755D" w:rsidRPr="008D220A" w:rsidRDefault="00F2755D" w:rsidP="005D72C9">
      <w:pPr>
        <w:jc w:val="center"/>
        <w:rPr>
          <w:rFonts w:ascii="Myriad Pro" w:hAnsi="Myriad Pro" w:cs="Arial"/>
          <w:b/>
          <w:sz w:val="32"/>
          <w:szCs w:val="32"/>
          <w:lang w:val="en-US"/>
        </w:rPr>
      </w:pPr>
    </w:p>
    <w:p w14:paraId="57C958A6" w14:textId="77777777" w:rsidR="008343F9" w:rsidRPr="008D220A" w:rsidRDefault="008343F9" w:rsidP="005D72C9">
      <w:pPr>
        <w:jc w:val="center"/>
        <w:rPr>
          <w:rFonts w:ascii="Myriad Pro" w:hAnsi="Myriad Pro" w:cs="Arial"/>
          <w:b/>
          <w:sz w:val="32"/>
          <w:szCs w:val="32"/>
          <w:lang w:val="en-US"/>
        </w:rPr>
      </w:pPr>
    </w:p>
    <w:p w14:paraId="625AB750" w14:textId="77777777" w:rsidR="00DF2166" w:rsidRPr="008D220A" w:rsidRDefault="00DF2166" w:rsidP="005D72C9">
      <w:pPr>
        <w:jc w:val="center"/>
        <w:rPr>
          <w:rFonts w:ascii="Myriad Pro" w:hAnsi="Myriad Pro" w:cs="Arial"/>
          <w:b/>
          <w:sz w:val="32"/>
          <w:szCs w:val="32"/>
          <w:lang w:val="en-US"/>
        </w:rPr>
      </w:pPr>
    </w:p>
    <w:p w14:paraId="4D375E30" w14:textId="77777777" w:rsidR="00C83228" w:rsidRPr="008D220A" w:rsidRDefault="009E3BE8" w:rsidP="009E3BE8">
      <w:pPr>
        <w:pStyle w:val="10"/>
        <w:rPr>
          <w:lang w:val="en-US"/>
        </w:rPr>
      </w:pPr>
      <w:r w:rsidRPr="008D220A">
        <w:rPr>
          <w:lang w:val="en-US"/>
        </w:rPr>
        <w:lastRenderedPageBreak/>
        <w:t xml:space="preserve">Table of content </w:t>
      </w:r>
    </w:p>
    <w:p w14:paraId="66BDAF7D" w14:textId="77777777" w:rsidR="00CC7874" w:rsidRPr="008D220A" w:rsidRDefault="00756736">
      <w:pPr>
        <w:pStyle w:val="22"/>
        <w:rPr>
          <w:rFonts w:asciiTheme="minorHAnsi" w:eastAsiaTheme="minorEastAsia" w:hAnsiTheme="minorHAnsi" w:cstheme="minorBidi"/>
          <w:b w:val="0"/>
          <w:bCs w:val="0"/>
          <w:noProof/>
          <w:sz w:val="24"/>
          <w:szCs w:val="24"/>
          <w:lang w:val="en-US" w:eastAsia="ja-JP"/>
        </w:rPr>
      </w:pPr>
      <w:r w:rsidRPr="008D220A">
        <w:rPr>
          <w:rFonts w:ascii="Arial" w:hAnsi="Arial" w:cs="Arial"/>
          <w:caps/>
          <w:sz w:val="24"/>
          <w:szCs w:val="24"/>
          <w:lang w:val="en-US"/>
        </w:rPr>
        <w:fldChar w:fldCharType="begin"/>
      </w:r>
      <w:r w:rsidR="00B257B4" w:rsidRPr="008D220A">
        <w:rPr>
          <w:rFonts w:ascii="Arial" w:hAnsi="Arial" w:cs="Arial"/>
          <w:sz w:val="24"/>
          <w:szCs w:val="24"/>
          <w:lang w:val="en-US"/>
        </w:rPr>
        <w:instrText xml:space="preserve"> TOC \o "1-3" \h \z \u </w:instrText>
      </w:r>
      <w:r w:rsidRPr="008D220A">
        <w:rPr>
          <w:rFonts w:ascii="Arial" w:hAnsi="Arial" w:cs="Arial"/>
          <w:caps/>
          <w:sz w:val="24"/>
          <w:szCs w:val="24"/>
          <w:lang w:val="en-US"/>
        </w:rPr>
        <w:fldChar w:fldCharType="separate"/>
      </w:r>
      <w:r w:rsidR="00CC7874" w:rsidRPr="008D220A">
        <w:rPr>
          <w:rFonts w:ascii="Arial" w:hAnsi="Arial" w:cs="Arial"/>
          <w:noProof/>
          <w:sz w:val="24"/>
          <w:szCs w:val="24"/>
          <w:lang w:val="en-US"/>
        </w:rPr>
        <w:t>Annotation</w:t>
      </w:r>
      <w:r w:rsidR="00CC7874" w:rsidRPr="008D220A">
        <w:rPr>
          <w:noProof/>
        </w:rPr>
        <w:tab/>
      </w:r>
      <w:r w:rsidR="00CC7874" w:rsidRPr="008D220A">
        <w:rPr>
          <w:noProof/>
        </w:rPr>
        <w:fldChar w:fldCharType="begin"/>
      </w:r>
      <w:r w:rsidR="00CC7874" w:rsidRPr="008D220A">
        <w:rPr>
          <w:noProof/>
        </w:rPr>
        <w:instrText xml:space="preserve"> PAGEREF _Toc376123018 \h </w:instrText>
      </w:r>
      <w:r w:rsidR="00CC7874" w:rsidRPr="008D220A">
        <w:rPr>
          <w:noProof/>
        </w:rPr>
      </w:r>
      <w:r w:rsidR="00CC7874" w:rsidRPr="008D220A">
        <w:rPr>
          <w:noProof/>
        </w:rPr>
        <w:fldChar w:fldCharType="separate"/>
      </w:r>
      <w:r w:rsidR="00CC7874" w:rsidRPr="008D220A">
        <w:rPr>
          <w:noProof/>
        </w:rPr>
        <w:t>3</w:t>
      </w:r>
      <w:r w:rsidR="00CC7874" w:rsidRPr="008D220A">
        <w:rPr>
          <w:noProof/>
        </w:rPr>
        <w:fldChar w:fldCharType="end"/>
      </w:r>
    </w:p>
    <w:p w14:paraId="16024600" w14:textId="77777777" w:rsidR="00CC7874" w:rsidRPr="008D220A" w:rsidRDefault="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Purpose of the Report</w:t>
      </w:r>
      <w:r w:rsidRPr="008D220A">
        <w:rPr>
          <w:noProof/>
        </w:rPr>
        <w:tab/>
      </w:r>
      <w:r w:rsidRPr="008D220A">
        <w:rPr>
          <w:noProof/>
        </w:rPr>
        <w:fldChar w:fldCharType="begin"/>
      </w:r>
      <w:r w:rsidRPr="008D220A">
        <w:rPr>
          <w:noProof/>
        </w:rPr>
        <w:instrText xml:space="preserve"> PAGEREF _Toc376123019 \h </w:instrText>
      </w:r>
      <w:r w:rsidRPr="008D220A">
        <w:rPr>
          <w:noProof/>
        </w:rPr>
      </w:r>
      <w:r w:rsidRPr="008D220A">
        <w:rPr>
          <w:noProof/>
        </w:rPr>
        <w:fldChar w:fldCharType="separate"/>
      </w:r>
      <w:r w:rsidRPr="008D220A">
        <w:rPr>
          <w:noProof/>
        </w:rPr>
        <w:t>3</w:t>
      </w:r>
      <w:r w:rsidRPr="008D220A">
        <w:rPr>
          <w:noProof/>
        </w:rPr>
        <w:fldChar w:fldCharType="end"/>
      </w:r>
    </w:p>
    <w:p w14:paraId="70441D94" w14:textId="77777777" w:rsidR="00CC7874" w:rsidRPr="008D220A" w:rsidRDefault="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Acronyms</w:t>
      </w:r>
      <w:r w:rsidRPr="008D220A">
        <w:rPr>
          <w:noProof/>
        </w:rPr>
        <w:tab/>
      </w:r>
      <w:r w:rsidRPr="008D220A">
        <w:rPr>
          <w:noProof/>
        </w:rPr>
        <w:fldChar w:fldCharType="begin"/>
      </w:r>
      <w:r w:rsidRPr="008D220A">
        <w:rPr>
          <w:noProof/>
        </w:rPr>
        <w:instrText xml:space="preserve"> PAGEREF _Toc376123020 \h </w:instrText>
      </w:r>
      <w:r w:rsidRPr="008D220A">
        <w:rPr>
          <w:noProof/>
        </w:rPr>
      </w:r>
      <w:r w:rsidRPr="008D220A">
        <w:rPr>
          <w:noProof/>
        </w:rPr>
        <w:fldChar w:fldCharType="separate"/>
      </w:r>
      <w:r w:rsidRPr="008D220A">
        <w:rPr>
          <w:noProof/>
        </w:rPr>
        <w:t>4</w:t>
      </w:r>
      <w:r w:rsidRPr="008D220A">
        <w:rPr>
          <w:noProof/>
        </w:rPr>
        <w:fldChar w:fldCharType="end"/>
      </w:r>
    </w:p>
    <w:p w14:paraId="002F9DB9" w14:textId="77777777" w:rsidR="00CC7874" w:rsidRPr="008D220A" w:rsidRDefault="00CC7874">
      <w:pPr>
        <w:pStyle w:val="10"/>
        <w:tabs>
          <w:tab w:val="left" w:pos="373"/>
          <w:tab w:val="right" w:leader="dot" w:pos="9911"/>
        </w:tabs>
        <w:rPr>
          <w:rFonts w:asciiTheme="minorHAnsi" w:eastAsiaTheme="minorEastAsia" w:hAnsiTheme="minorHAnsi" w:cstheme="minorBidi"/>
          <w:b w:val="0"/>
          <w:bCs w:val="0"/>
          <w:caps w:val="0"/>
          <w:noProof/>
          <w:lang w:val="en-US" w:eastAsia="ja-JP"/>
        </w:rPr>
      </w:pPr>
      <w:r w:rsidRPr="008D220A">
        <w:rPr>
          <w:noProof/>
          <w:lang w:val="en-US"/>
        </w:rPr>
        <w:t>I.</w:t>
      </w:r>
      <w:r w:rsidRPr="008D220A">
        <w:rPr>
          <w:rFonts w:asciiTheme="minorHAnsi" w:eastAsiaTheme="minorEastAsia" w:hAnsiTheme="minorHAnsi" w:cstheme="minorBidi"/>
          <w:b w:val="0"/>
          <w:bCs w:val="0"/>
          <w:caps w:val="0"/>
          <w:noProof/>
          <w:lang w:val="en-US" w:eastAsia="ja-JP"/>
        </w:rPr>
        <w:tab/>
      </w:r>
      <w:r w:rsidRPr="008D220A">
        <w:rPr>
          <w:noProof/>
          <w:lang w:val="en-US"/>
        </w:rPr>
        <w:t>Executive summary</w:t>
      </w:r>
      <w:r w:rsidRPr="008D220A">
        <w:rPr>
          <w:noProof/>
        </w:rPr>
        <w:tab/>
      </w:r>
      <w:r w:rsidRPr="008D220A">
        <w:rPr>
          <w:noProof/>
        </w:rPr>
        <w:fldChar w:fldCharType="begin"/>
      </w:r>
      <w:r w:rsidRPr="008D220A">
        <w:rPr>
          <w:noProof/>
        </w:rPr>
        <w:instrText xml:space="preserve"> PAGEREF _Toc376123021 \h </w:instrText>
      </w:r>
      <w:r w:rsidRPr="008D220A">
        <w:rPr>
          <w:noProof/>
        </w:rPr>
      </w:r>
      <w:r w:rsidRPr="008D220A">
        <w:rPr>
          <w:noProof/>
        </w:rPr>
        <w:fldChar w:fldCharType="separate"/>
      </w:r>
      <w:r w:rsidRPr="008D220A">
        <w:rPr>
          <w:noProof/>
        </w:rPr>
        <w:t>5</w:t>
      </w:r>
      <w:r w:rsidRPr="008D220A">
        <w:rPr>
          <w:noProof/>
        </w:rPr>
        <w:fldChar w:fldCharType="end"/>
      </w:r>
    </w:p>
    <w:p w14:paraId="3DC26580" w14:textId="77777777" w:rsidR="00CC7874" w:rsidRPr="008D220A" w:rsidRDefault="00CC7874">
      <w:pPr>
        <w:pStyle w:val="10"/>
        <w:tabs>
          <w:tab w:val="left" w:pos="440"/>
          <w:tab w:val="right" w:leader="dot" w:pos="9911"/>
        </w:tabs>
        <w:rPr>
          <w:rFonts w:asciiTheme="minorHAnsi" w:eastAsiaTheme="minorEastAsia" w:hAnsiTheme="minorHAnsi" w:cstheme="minorBidi"/>
          <w:b w:val="0"/>
          <w:bCs w:val="0"/>
          <w:caps w:val="0"/>
          <w:noProof/>
          <w:lang w:val="en-US" w:eastAsia="ja-JP"/>
        </w:rPr>
      </w:pPr>
      <w:r w:rsidRPr="008D220A">
        <w:rPr>
          <w:noProof/>
          <w:lang w:val="en-US"/>
        </w:rPr>
        <w:t>II.</w:t>
      </w:r>
      <w:r w:rsidRPr="008D220A">
        <w:rPr>
          <w:rFonts w:asciiTheme="minorHAnsi" w:eastAsiaTheme="minorEastAsia" w:hAnsiTheme="minorHAnsi" w:cstheme="minorBidi"/>
          <w:b w:val="0"/>
          <w:bCs w:val="0"/>
          <w:caps w:val="0"/>
          <w:noProof/>
          <w:lang w:val="en-US" w:eastAsia="ja-JP"/>
        </w:rPr>
        <w:tab/>
      </w:r>
      <w:r w:rsidRPr="008D220A">
        <w:rPr>
          <w:noProof/>
          <w:lang w:val="en-US"/>
        </w:rPr>
        <w:t>Background</w:t>
      </w:r>
      <w:r w:rsidRPr="008D220A">
        <w:rPr>
          <w:noProof/>
        </w:rPr>
        <w:tab/>
      </w:r>
      <w:r w:rsidRPr="008D220A">
        <w:rPr>
          <w:noProof/>
        </w:rPr>
        <w:fldChar w:fldCharType="begin"/>
      </w:r>
      <w:r w:rsidRPr="008D220A">
        <w:rPr>
          <w:noProof/>
        </w:rPr>
        <w:instrText xml:space="preserve"> PAGEREF _Toc376123022 \h </w:instrText>
      </w:r>
      <w:r w:rsidRPr="008D220A">
        <w:rPr>
          <w:noProof/>
        </w:rPr>
      </w:r>
      <w:r w:rsidRPr="008D220A">
        <w:rPr>
          <w:noProof/>
        </w:rPr>
        <w:fldChar w:fldCharType="separate"/>
      </w:r>
      <w:r w:rsidRPr="008D220A">
        <w:rPr>
          <w:noProof/>
        </w:rPr>
        <w:t>6</w:t>
      </w:r>
      <w:r w:rsidRPr="008D220A">
        <w:rPr>
          <w:noProof/>
        </w:rPr>
        <w:fldChar w:fldCharType="end"/>
      </w:r>
    </w:p>
    <w:p w14:paraId="65BCA82E" w14:textId="77777777" w:rsidR="00CC7874" w:rsidRPr="008D220A" w:rsidRDefault="00CC7874">
      <w:pPr>
        <w:pStyle w:val="22"/>
        <w:tabs>
          <w:tab w:val="left" w:pos="540"/>
        </w:tabs>
        <w:rPr>
          <w:rFonts w:asciiTheme="minorHAnsi" w:eastAsiaTheme="minorEastAsia" w:hAnsiTheme="minorHAnsi" w:cstheme="minorBidi"/>
          <w:b w:val="0"/>
          <w:bCs w:val="0"/>
          <w:noProof/>
          <w:sz w:val="24"/>
          <w:szCs w:val="24"/>
          <w:lang w:val="en-US" w:eastAsia="ja-JP"/>
        </w:rPr>
      </w:pPr>
      <w:r w:rsidRPr="008D220A">
        <w:rPr>
          <w:noProof/>
          <w:lang w:val="en-US"/>
        </w:rPr>
        <w:t>2.1.</w:t>
      </w:r>
      <w:r w:rsidRPr="008D220A">
        <w:rPr>
          <w:rFonts w:asciiTheme="minorHAnsi" w:eastAsiaTheme="minorEastAsia" w:hAnsiTheme="minorHAnsi" w:cstheme="minorBidi"/>
          <w:b w:val="0"/>
          <w:bCs w:val="0"/>
          <w:noProof/>
          <w:sz w:val="24"/>
          <w:szCs w:val="24"/>
          <w:lang w:val="en-US" w:eastAsia="ja-JP"/>
        </w:rPr>
        <w:tab/>
      </w:r>
      <w:r w:rsidRPr="008D220A">
        <w:rPr>
          <w:noProof/>
          <w:lang w:val="en-US"/>
        </w:rPr>
        <w:t>Project genesis</w:t>
      </w:r>
      <w:r w:rsidRPr="008D220A">
        <w:rPr>
          <w:noProof/>
        </w:rPr>
        <w:tab/>
      </w:r>
      <w:r w:rsidRPr="008D220A">
        <w:rPr>
          <w:noProof/>
        </w:rPr>
        <w:fldChar w:fldCharType="begin"/>
      </w:r>
      <w:r w:rsidRPr="008D220A">
        <w:rPr>
          <w:noProof/>
        </w:rPr>
        <w:instrText xml:space="preserve"> PAGEREF _Toc376123023 \h </w:instrText>
      </w:r>
      <w:r w:rsidRPr="008D220A">
        <w:rPr>
          <w:noProof/>
        </w:rPr>
      </w:r>
      <w:r w:rsidRPr="008D220A">
        <w:rPr>
          <w:noProof/>
        </w:rPr>
        <w:fldChar w:fldCharType="separate"/>
      </w:r>
      <w:r w:rsidRPr="008D220A">
        <w:rPr>
          <w:noProof/>
        </w:rPr>
        <w:t>6</w:t>
      </w:r>
      <w:r w:rsidRPr="008D220A">
        <w:rPr>
          <w:noProof/>
        </w:rPr>
        <w:fldChar w:fldCharType="end"/>
      </w:r>
    </w:p>
    <w:p w14:paraId="118CDC48" w14:textId="77777777" w:rsidR="00CC7874" w:rsidRPr="008D220A" w:rsidRDefault="00CC7874">
      <w:pPr>
        <w:pStyle w:val="22"/>
        <w:tabs>
          <w:tab w:val="left" w:pos="540"/>
        </w:tabs>
        <w:rPr>
          <w:rFonts w:asciiTheme="minorHAnsi" w:eastAsiaTheme="minorEastAsia" w:hAnsiTheme="minorHAnsi" w:cstheme="minorBidi"/>
          <w:b w:val="0"/>
          <w:bCs w:val="0"/>
          <w:noProof/>
          <w:sz w:val="24"/>
          <w:szCs w:val="24"/>
          <w:lang w:val="en-US" w:eastAsia="ja-JP"/>
        </w:rPr>
      </w:pPr>
      <w:r w:rsidRPr="008D220A">
        <w:rPr>
          <w:noProof/>
          <w:lang w:val="en-US"/>
        </w:rPr>
        <w:t>2.2.</w:t>
      </w:r>
      <w:r w:rsidRPr="008D220A">
        <w:rPr>
          <w:rFonts w:asciiTheme="minorHAnsi" w:eastAsiaTheme="minorEastAsia" w:hAnsiTheme="minorHAnsi" w:cstheme="minorBidi"/>
          <w:b w:val="0"/>
          <w:bCs w:val="0"/>
          <w:noProof/>
          <w:sz w:val="24"/>
          <w:szCs w:val="24"/>
          <w:lang w:val="en-US" w:eastAsia="ja-JP"/>
        </w:rPr>
        <w:tab/>
      </w:r>
      <w:r w:rsidRPr="008D220A">
        <w:rPr>
          <w:noProof/>
          <w:lang w:val="en-US"/>
        </w:rPr>
        <w:t>Midterm Project Review results and revised Project strategy for 2017-2018 and beyond</w:t>
      </w:r>
      <w:r w:rsidRPr="008D220A">
        <w:rPr>
          <w:noProof/>
        </w:rPr>
        <w:tab/>
      </w:r>
      <w:r w:rsidRPr="008D220A">
        <w:rPr>
          <w:noProof/>
        </w:rPr>
        <w:fldChar w:fldCharType="begin"/>
      </w:r>
      <w:r w:rsidRPr="008D220A">
        <w:rPr>
          <w:noProof/>
        </w:rPr>
        <w:instrText xml:space="preserve"> PAGEREF _Toc376123024 \h </w:instrText>
      </w:r>
      <w:r w:rsidRPr="008D220A">
        <w:rPr>
          <w:noProof/>
        </w:rPr>
      </w:r>
      <w:r w:rsidRPr="008D220A">
        <w:rPr>
          <w:noProof/>
        </w:rPr>
        <w:fldChar w:fldCharType="separate"/>
      </w:r>
      <w:r w:rsidRPr="008D220A">
        <w:rPr>
          <w:noProof/>
        </w:rPr>
        <w:t>11</w:t>
      </w:r>
      <w:r w:rsidRPr="008D220A">
        <w:rPr>
          <w:noProof/>
        </w:rPr>
        <w:fldChar w:fldCharType="end"/>
      </w:r>
    </w:p>
    <w:p w14:paraId="63EB7B63" w14:textId="77777777" w:rsidR="00CC7874" w:rsidRPr="008D220A" w:rsidRDefault="00CC7874">
      <w:pPr>
        <w:pStyle w:val="10"/>
        <w:tabs>
          <w:tab w:val="right" w:leader="dot" w:pos="9911"/>
        </w:tabs>
        <w:rPr>
          <w:rFonts w:asciiTheme="minorHAnsi" w:eastAsiaTheme="minorEastAsia" w:hAnsiTheme="minorHAnsi" w:cstheme="minorBidi"/>
          <w:b w:val="0"/>
          <w:bCs w:val="0"/>
          <w:caps w:val="0"/>
          <w:noProof/>
          <w:lang w:val="en-US" w:eastAsia="ja-JP"/>
        </w:rPr>
      </w:pPr>
      <w:r w:rsidRPr="008D220A">
        <w:rPr>
          <w:noProof/>
          <w:lang w:val="en-US"/>
        </w:rPr>
        <w:t>III. Progress Review</w:t>
      </w:r>
      <w:r w:rsidRPr="008D220A">
        <w:rPr>
          <w:noProof/>
        </w:rPr>
        <w:tab/>
      </w:r>
      <w:r w:rsidRPr="008D220A">
        <w:rPr>
          <w:noProof/>
        </w:rPr>
        <w:fldChar w:fldCharType="begin"/>
      </w:r>
      <w:r w:rsidRPr="008D220A">
        <w:rPr>
          <w:noProof/>
        </w:rPr>
        <w:instrText xml:space="preserve"> PAGEREF _Toc376123025 \h </w:instrText>
      </w:r>
      <w:r w:rsidRPr="008D220A">
        <w:rPr>
          <w:noProof/>
        </w:rPr>
      </w:r>
      <w:r w:rsidRPr="008D220A">
        <w:rPr>
          <w:noProof/>
        </w:rPr>
        <w:fldChar w:fldCharType="separate"/>
      </w:r>
      <w:r w:rsidRPr="008D220A">
        <w:rPr>
          <w:noProof/>
        </w:rPr>
        <w:t>13</w:t>
      </w:r>
      <w:r w:rsidRPr="008D220A">
        <w:rPr>
          <w:noProof/>
        </w:rPr>
        <w:fldChar w:fldCharType="end"/>
      </w:r>
    </w:p>
    <w:p w14:paraId="27B51F28" w14:textId="157FA7C2" w:rsidR="00CC7874" w:rsidRPr="008D220A" w:rsidRDefault="00CC7874" w:rsidP="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3.1. F</w:t>
      </w:r>
      <w:r w:rsidRPr="008D220A">
        <w:rPr>
          <w:noProof/>
          <w:shd w:val="clear" w:color="auto" w:fill="FFFFFF"/>
          <w:lang w:val="en-US"/>
        </w:rPr>
        <w:t>ormulating a streamlined and comprehensive market-oriented policy and legal/regulatory framework to promote municipal biomass for heat and hot water services</w:t>
      </w:r>
    </w:p>
    <w:p w14:paraId="6A791BD1" w14:textId="77777777" w:rsidR="00CC7874" w:rsidRPr="008D220A" w:rsidRDefault="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3.2. Developing capacity within relevant national bodies to support development and implementation of municipal biomass programme through the establishment of a Biomass Support Unit or alternative arrangements</w:t>
      </w:r>
      <w:r w:rsidRPr="008D220A">
        <w:rPr>
          <w:noProof/>
        </w:rPr>
        <w:tab/>
      </w:r>
      <w:r w:rsidRPr="008D220A">
        <w:rPr>
          <w:noProof/>
        </w:rPr>
        <w:fldChar w:fldCharType="begin"/>
      </w:r>
      <w:r w:rsidRPr="008D220A">
        <w:rPr>
          <w:noProof/>
        </w:rPr>
        <w:instrText xml:space="preserve"> PAGEREF _Toc376123028 \h </w:instrText>
      </w:r>
      <w:r w:rsidRPr="008D220A">
        <w:rPr>
          <w:noProof/>
        </w:rPr>
      </w:r>
      <w:r w:rsidRPr="008D220A">
        <w:rPr>
          <w:noProof/>
        </w:rPr>
        <w:fldChar w:fldCharType="separate"/>
      </w:r>
      <w:r w:rsidRPr="008D220A">
        <w:rPr>
          <w:noProof/>
        </w:rPr>
        <w:t>15</w:t>
      </w:r>
      <w:r w:rsidRPr="008D220A">
        <w:rPr>
          <w:noProof/>
        </w:rPr>
        <w:fldChar w:fldCharType="end"/>
      </w:r>
    </w:p>
    <w:p w14:paraId="432D1C68" w14:textId="77777777" w:rsidR="00CC7874" w:rsidRPr="008D220A" w:rsidRDefault="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3.3. Establishment of the Financial Support Mechanism</w:t>
      </w:r>
      <w:r w:rsidRPr="008D220A">
        <w:rPr>
          <w:noProof/>
        </w:rPr>
        <w:tab/>
      </w:r>
      <w:r w:rsidRPr="008D220A">
        <w:rPr>
          <w:noProof/>
        </w:rPr>
        <w:fldChar w:fldCharType="begin"/>
      </w:r>
      <w:r w:rsidRPr="008D220A">
        <w:rPr>
          <w:noProof/>
        </w:rPr>
        <w:instrText xml:space="preserve"> PAGEREF _Toc376123029 \h </w:instrText>
      </w:r>
      <w:r w:rsidRPr="008D220A">
        <w:rPr>
          <w:noProof/>
        </w:rPr>
      </w:r>
      <w:r w:rsidRPr="008D220A">
        <w:rPr>
          <w:noProof/>
        </w:rPr>
        <w:fldChar w:fldCharType="separate"/>
      </w:r>
      <w:r w:rsidRPr="008D220A">
        <w:rPr>
          <w:noProof/>
        </w:rPr>
        <w:t>18</w:t>
      </w:r>
      <w:r w:rsidRPr="008D220A">
        <w:rPr>
          <w:noProof/>
        </w:rPr>
        <w:fldChar w:fldCharType="end"/>
      </w:r>
    </w:p>
    <w:p w14:paraId="34A7A8CF" w14:textId="77777777" w:rsidR="00CC7874" w:rsidRPr="008D220A" w:rsidRDefault="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3.4. Awareness and Capacity Building Training Campaign</w:t>
      </w:r>
      <w:r w:rsidRPr="008D220A">
        <w:rPr>
          <w:noProof/>
        </w:rPr>
        <w:tab/>
      </w:r>
      <w:r w:rsidRPr="008D220A">
        <w:rPr>
          <w:noProof/>
        </w:rPr>
        <w:fldChar w:fldCharType="begin"/>
      </w:r>
      <w:r w:rsidRPr="008D220A">
        <w:rPr>
          <w:noProof/>
        </w:rPr>
        <w:instrText xml:space="preserve"> PAGEREF _Toc376123030 \h </w:instrText>
      </w:r>
      <w:r w:rsidRPr="008D220A">
        <w:rPr>
          <w:noProof/>
        </w:rPr>
      </w:r>
      <w:r w:rsidRPr="008D220A">
        <w:rPr>
          <w:noProof/>
        </w:rPr>
        <w:fldChar w:fldCharType="separate"/>
      </w:r>
      <w:r w:rsidRPr="008D220A">
        <w:rPr>
          <w:noProof/>
        </w:rPr>
        <w:t>21</w:t>
      </w:r>
      <w:r w:rsidRPr="008D220A">
        <w:rPr>
          <w:noProof/>
        </w:rPr>
        <w:fldChar w:fldCharType="end"/>
      </w:r>
    </w:p>
    <w:p w14:paraId="1F03DDAD" w14:textId="77777777" w:rsidR="00CC7874" w:rsidRPr="008D220A" w:rsidRDefault="00CC7874">
      <w:pPr>
        <w:pStyle w:val="22"/>
        <w:rPr>
          <w:rFonts w:asciiTheme="minorHAnsi" w:eastAsiaTheme="minorEastAsia" w:hAnsiTheme="minorHAnsi" w:cstheme="minorBidi"/>
          <w:b w:val="0"/>
          <w:bCs w:val="0"/>
          <w:noProof/>
          <w:sz w:val="24"/>
          <w:szCs w:val="24"/>
          <w:lang w:val="en-US" w:eastAsia="ja-JP"/>
        </w:rPr>
      </w:pPr>
      <w:r w:rsidRPr="008D220A">
        <w:rPr>
          <w:noProof/>
          <w:lang w:val="en-US"/>
        </w:rPr>
        <w:t>3.5. Bioenergy Outreach and Women Empowerment</w:t>
      </w:r>
      <w:r w:rsidRPr="008D220A">
        <w:rPr>
          <w:noProof/>
        </w:rPr>
        <w:tab/>
      </w:r>
      <w:r w:rsidRPr="008D220A">
        <w:rPr>
          <w:noProof/>
        </w:rPr>
        <w:fldChar w:fldCharType="begin"/>
      </w:r>
      <w:r w:rsidRPr="008D220A">
        <w:rPr>
          <w:noProof/>
        </w:rPr>
        <w:instrText xml:space="preserve"> PAGEREF _Toc376123031 \h </w:instrText>
      </w:r>
      <w:r w:rsidRPr="008D220A">
        <w:rPr>
          <w:noProof/>
        </w:rPr>
      </w:r>
      <w:r w:rsidRPr="008D220A">
        <w:rPr>
          <w:noProof/>
        </w:rPr>
        <w:fldChar w:fldCharType="separate"/>
      </w:r>
      <w:r w:rsidRPr="008D220A">
        <w:rPr>
          <w:noProof/>
        </w:rPr>
        <w:t>22</w:t>
      </w:r>
      <w:r w:rsidRPr="008D220A">
        <w:rPr>
          <w:noProof/>
        </w:rPr>
        <w:fldChar w:fldCharType="end"/>
      </w:r>
    </w:p>
    <w:p w14:paraId="725BEC78" w14:textId="77777777" w:rsidR="00CC7874" w:rsidRPr="008D220A" w:rsidRDefault="00CC7874">
      <w:pPr>
        <w:pStyle w:val="10"/>
        <w:tabs>
          <w:tab w:val="right" w:leader="dot" w:pos="9911"/>
        </w:tabs>
        <w:rPr>
          <w:rFonts w:asciiTheme="minorHAnsi" w:eastAsiaTheme="minorEastAsia" w:hAnsiTheme="minorHAnsi" w:cstheme="minorBidi"/>
          <w:b w:val="0"/>
          <w:bCs w:val="0"/>
          <w:caps w:val="0"/>
          <w:noProof/>
          <w:lang w:val="en-US" w:eastAsia="ja-JP"/>
        </w:rPr>
      </w:pPr>
      <w:r w:rsidRPr="008D220A">
        <w:rPr>
          <w:noProof/>
          <w:lang w:val="en-US"/>
        </w:rPr>
        <w:t>IV. Challenges and outstanding issues</w:t>
      </w:r>
      <w:r w:rsidRPr="008D220A">
        <w:rPr>
          <w:noProof/>
        </w:rPr>
        <w:tab/>
      </w:r>
      <w:r w:rsidRPr="008D220A">
        <w:rPr>
          <w:noProof/>
        </w:rPr>
        <w:fldChar w:fldCharType="begin"/>
      </w:r>
      <w:r w:rsidRPr="008D220A">
        <w:rPr>
          <w:noProof/>
        </w:rPr>
        <w:instrText xml:space="preserve"> PAGEREF _Toc376123032 \h </w:instrText>
      </w:r>
      <w:r w:rsidRPr="008D220A">
        <w:rPr>
          <w:noProof/>
        </w:rPr>
      </w:r>
      <w:r w:rsidRPr="008D220A">
        <w:rPr>
          <w:noProof/>
        </w:rPr>
        <w:fldChar w:fldCharType="separate"/>
      </w:r>
      <w:r w:rsidRPr="008D220A">
        <w:rPr>
          <w:noProof/>
        </w:rPr>
        <w:t>23</w:t>
      </w:r>
      <w:r w:rsidRPr="008D220A">
        <w:rPr>
          <w:noProof/>
        </w:rPr>
        <w:fldChar w:fldCharType="end"/>
      </w:r>
    </w:p>
    <w:p w14:paraId="400C1C25" w14:textId="77777777" w:rsidR="009E3BE8" w:rsidRPr="008D220A" w:rsidRDefault="00756736" w:rsidP="00094A7F">
      <w:pPr>
        <w:rPr>
          <w:rFonts w:eastAsiaTheme="minorEastAsia" w:cstheme="minorBidi"/>
          <w:b/>
          <w:bCs/>
          <w:caps/>
          <w:noProof/>
          <w:sz w:val="22"/>
          <w:szCs w:val="22"/>
          <w:lang w:val="en-US" w:eastAsia="ja-JP"/>
        </w:rPr>
      </w:pPr>
      <w:r w:rsidRPr="008D220A">
        <w:rPr>
          <w:rFonts w:ascii="Myriad Pro" w:hAnsi="Myriad Pro"/>
          <w:sz w:val="22"/>
          <w:szCs w:val="22"/>
          <w:lang w:val="en-US"/>
        </w:rPr>
        <w:fldChar w:fldCharType="end"/>
      </w:r>
      <w:r w:rsidRPr="008D220A">
        <w:rPr>
          <w:rFonts w:eastAsia="MS Mincho"/>
          <w:lang w:val="en-US"/>
        </w:rPr>
        <w:fldChar w:fldCharType="begin"/>
      </w:r>
      <w:r w:rsidR="009E3BE8" w:rsidRPr="008D220A">
        <w:rPr>
          <w:lang w:val="en-US"/>
        </w:rPr>
        <w:instrText xml:space="preserve"> TOC \o "1-2" \u </w:instrText>
      </w:r>
      <w:r w:rsidRPr="008D220A">
        <w:rPr>
          <w:rFonts w:eastAsia="MS Mincho"/>
          <w:lang w:val="en-US"/>
        </w:rPr>
        <w:fldChar w:fldCharType="separate"/>
      </w:r>
    </w:p>
    <w:p w14:paraId="2BA08AFD" w14:textId="77777777" w:rsidR="00E35219" w:rsidRPr="008D220A" w:rsidRDefault="00E35219" w:rsidP="00F753C5">
      <w:pPr>
        <w:pStyle w:val="10"/>
        <w:rPr>
          <w:rFonts w:eastAsiaTheme="minorEastAsia" w:cstheme="minorBidi"/>
          <w:noProof/>
          <w:sz w:val="22"/>
          <w:szCs w:val="22"/>
          <w:lang w:val="en-US" w:eastAsia="ja-JP"/>
        </w:rPr>
      </w:pPr>
    </w:p>
    <w:p w14:paraId="4900D3B1" w14:textId="77777777" w:rsidR="00E35219" w:rsidRPr="008D220A" w:rsidRDefault="00E35219" w:rsidP="00EF4EB6">
      <w:pPr>
        <w:rPr>
          <w:rFonts w:eastAsiaTheme="minorEastAsia"/>
          <w:lang w:val="en-US"/>
        </w:rPr>
      </w:pPr>
    </w:p>
    <w:p w14:paraId="3FC60797" w14:textId="77777777" w:rsidR="00292A05" w:rsidRPr="008D220A" w:rsidRDefault="001C265B" w:rsidP="00EF4EB6">
      <w:pPr>
        <w:rPr>
          <w:rFonts w:eastAsiaTheme="minorEastAsia"/>
          <w:lang w:val="en-US"/>
        </w:rPr>
      </w:pPr>
      <w:r w:rsidRPr="008D220A">
        <w:rPr>
          <w:rFonts w:eastAsiaTheme="minorEastAsia"/>
          <w:lang w:val="en-US"/>
        </w:rPr>
        <w:t xml:space="preserve">  </w:t>
      </w:r>
    </w:p>
    <w:p w14:paraId="2B1E00FA" w14:textId="77777777" w:rsidR="00292A05" w:rsidRPr="008D220A" w:rsidRDefault="00292A05" w:rsidP="00EF4EB6">
      <w:pPr>
        <w:rPr>
          <w:rFonts w:eastAsiaTheme="minorEastAsia"/>
          <w:lang w:val="en-US"/>
        </w:rPr>
      </w:pPr>
    </w:p>
    <w:p w14:paraId="3918377C" w14:textId="77777777" w:rsidR="00292A05" w:rsidRPr="008D220A" w:rsidRDefault="00292A05" w:rsidP="00EF4EB6">
      <w:pPr>
        <w:rPr>
          <w:rFonts w:eastAsiaTheme="minorEastAsia"/>
          <w:lang w:val="en-US"/>
        </w:rPr>
      </w:pPr>
    </w:p>
    <w:p w14:paraId="71156084" w14:textId="77777777" w:rsidR="00272BB1" w:rsidRPr="008D220A" w:rsidRDefault="00272BB1" w:rsidP="00EF4EB6">
      <w:pPr>
        <w:rPr>
          <w:rFonts w:eastAsiaTheme="minorEastAsia"/>
          <w:lang w:val="en-US"/>
        </w:rPr>
      </w:pPr>
    </w:p>
    <w:p w14:paraId="5C24AB4D" w14:textId="77777777" w:rsidR="00272BB1" w:rsidRPr="008D220A" w:rsidRDefault="00272BB1" w:rsidP="00EF4EB6">
      <w:pPr>
        <w:rPr>
          <w:rFonts w:eastAsiaTheme="minorEastAsia"/>
          <w:lang w:val="en-US"/>
        </w:rPr>
      </w:pPr>
    </w:p>
    <w:p w14:paraId="05CC92DA" w14:textId="77777777" w:rsidR="00272BB1" w:rsidRPr="008D220A" w:rsidRDefault="00272BB1" w:rsidP="00EF4EB6">
      <w:pPr>
        <w:rPr>
          <w:rFonts w:eastAsiaTheme="minorEastAsia"/>
          <w:lang w:val="en-US"/>
        </w:rPr>
      </w:pPr>
    </w:p>
    <w:p w14:paraId="142A5B90" w14:textId="77777777" w:rsidR="00F753C5" w:rsidRPr="008D220A" w:rsidRDefault="00F753C5" w:rsidP="00EF4EB6">
      <w:pPr>
        <w:rPr>
          <w:rFonts w:eastAsiaTheme="minorEastAsia"/>
          <w:lang w:val="en-US"/>
        </w:rPr>
      </w:pPr>
    </w:p>
    <w:p w14:paraId="380756CA" w14:textId="77777777" w:rsidR="00DA51A1" w:rsidRPr="008D220A" w:rsidRDefault="00DA51A1" w:rsidP="00EF4EB6">
      <w:pPr>
        <w:rPr>
          <w:rFonts w:eastAsiaTheme="minorEastAsia"/>
          <w:lang w:val="en-US"/>
        </w:rPr>
      </w:pPr>
    </w:p>
    <w:p w14:paraId="0C99550F" w14:textId="77777777" w:rsidR="00DA51A1" w:rsidRPr="008D220A" w:rsidRDefault="00DA51A1" w:rsidP="00EF4EB6">
      <w:pPr>
        <w:rPr>
          <w:rFonts w:eastAsiaTheme="minorEastAsia"/>
          <w:lang w:val="en-US"/>
        </w:rPr>
      </w:pPr>
    </w:p>
    <w:p w14:paraId="7160D379" w14:textId="77777777" w:rsidR="00766652" w:rsidRPr="008D220A" w:rsidRDefault="00766652" w:rsidP="00EF4EB6">
      <w:pPr>
        <w:rPr>
          <w:rFonts w:eastAsiaTheme="minorEastAsia"/>
          <w:lang w:val="en-US"/>
        </w:rPr>
      </w:pPr>
    </w:p>
    <w:p w14:paraId="2A9DBD8C" w14:textId="77777777" w:rsidR="00766652" w:rsidRPr="008D220A" w:rsidRDefault="00766652" w:rsidP="00EF4EB6">
      <w:pPr>
        <w:rPr>
          <w:rFonts w:eastAsiaTheme="minorEastAsia"/>
          <w:lang w:val="en-US"/>
        </w:rPr>
      </w:pPr>
    </w:p>
    <w:p w14:paraId="007D6F9E" w14:textId="77777777" w:rsidR="00766652" w:rsidRPr="008D220A" w:rsidRDefault="00766652" w:rsidP="00EF4EB6">
      <w:pPr>
        <w:rPr>
          <w:rFonts w:eastAsiaTheme="minorEastAsia"/>
          <w:lang w:val="en-US"/>
        </w:rPr>
      </w:pPr>
    </w:p>
    <w:p w14:paraId="672FA603" w14:textId="77777777" w:rsidR="00766652" w:rsidRPr="008D220A" w:rsidRDefault="00766652" w:rsidP="00EF4EB6">
      <w:pPr>
        <w:rPr>
          <w:rFonts w:eastAsiaTheme="minorEastAsia"/>
          <w:lang w:val="en-US"/>
        </w:rPr>
      </w:pPr>
    </w:p>
    <w:p w14:paraId="2A00A1FA" w14:textId="77777777" w:rsidR="00DA51A1" w:rsidRPr="008D220A" w:rsidRDefault="00DA51A1" w:rsidP="00EF4EB6">
      <w:pPr>
        <w:rPr>
          <w:rFonts w:eastAsiaTheme="minorEastAsia"/>
          <w:lang w:val="en-US"/>
        </w:rPr>
      </w:pPr>
    </w:p>
    <w:p w14:paraId="7552AD70" w14:textId="77777777" w:rsidR="00DA51A1" w:rsidRPr="008D220A" w:rsidRDefault="00DA51A1" w:rsidP="00EF4EB6">
      <w:pPr>
        <w:rPr>
          <w:rFonts w:eastAsiaTheme="minorEastAsia"/>
          <w:lang w:val="en-US"/>
        </w:rPr>
      </w:pPr>
    </w:p>
    <w:p w14:paraId="7FD495AC" w14:textId="77777777" w:rsidR="00DA51A1" w:rsidRPr="008D220A" w:rsidRDefault="00DA51A1" w:rsidP="00EF4EB6">
      <w:pPr>
        <w:rPr>
          <w:rFonts w:eastAsiaTheme="minorEastAsia"/>
          <w:lang w:val="en-US"/>
        </w:rPr>
      </w:pPr>
    </w:p>
    <w:p w14:paraId="197EEE95" w14:textId="77777777" w:rsidR="00DA51A1" w:rsidRPr="008D220A" w:rsidRDefault="00DA51A1" w:rsidP="00EF4EB6">
      <w:pPr>
        <w:rPr>
          <w:rFonts w:eastAsiaTheme="minorEastAsia"/>
          <w:lang w:val="en-US"/>
        </w:rPr>
      </w:pPr>
    </w:p>
    <w:p w14:paraId="359390CA" w14:textId="77777777" w:rsidR="00DA51A1" w:rsidRPr="008D220A" w:rsidRDefault="00DA51A1" w:rsidP="00EF4EB6">
      <w:pPr>
        <w:rPr>
          <w:rFonts w:eastAsiaTheme="minorEastAsia"/>
          <w:lang w:val="en-US"/>
        </w:rPr>
      </w:pPr>
    </w:p>
    <w:p w14:paraId="792653DF" w14:textId="77777777" w:rsidR="00DA51A1" w:rsidRPr="008D220A" w:rsidRDefault="00DA51A1" w:rsidP="00EF4EB6">
      <w:pPr>
        <w:rPr>
          <w:rFonts w:eastAsiaTheme="minorEastAsia"/>
          <w:lang w:val="en-US"/>
        </w:rPr>
      </w:pPr>
    </w:p>
    <w:p w14:paraId="4E6C7E95" w14:textId="77777777" w:rsidR="00DA51A1" w:rsidRPr="008D220A" w:rsidRDefault="00DA51A1" w:rsidP="00EF4EB6">
      <w:pPr>
        <w:rPr>
          <w:rFonts w:eastAsiaTheme="minorEastAsia"/>
          <w:lang w:val="en-US"/>
        </w:rPr>
      </w:pPr>
    </w:p>
    <w:p w14:paraId="3340FB9D" w14:textId="77777777" w:rsidR="00DA51A1" w:rsidRPr="008D220A" w:rsidRDefault="00DA51A1" w:rsidP="00EF4EB6">
      <w:pPr>
        <w:rPr>
          <w:rFonts w:eastAsiaTheme="minorEastAsia"/>
          <w:lang w:val="en-US"/>
        </w:rPr>
      </w:pPr>
    </w:p>
    <w:p w14:paraId="5F017593" w14:textId="77777777" w:rsidR="00DA51A1" w:rsidRPr="008D220A" w:rsidRDefault="00DA51A1" w:rsidP="00EF4EB6">
      <w:pPr>
        <w:rPr>
          <w:rFonts w:eastAsiaTheme="minorEastAsia"/>
          <w:lang w:val="en-US"/>
        </w:rPr>
      </w:pPr>
    </w:p>
    <w:p w14:paraId="1D0EE302" w14:textId="77777777" w:rsidR="00B50118" w:rsidRPr="008D220A" w:rsidRDefault="00B50118" w:rsidP="00EF4EB6">
      <w:pPr>
        <w:rPr>
          <w:rFonts w:eastAsiaTheme="minorEastAsia"/>
          <w:lang w:val="en-US"/>
        </w:rPr>
      </w:pPr>
    </w:p>
    <w:p w14:paraId="5F2773C1" w14:textId="77777777" w:rsidR="00B50118" w:rsidRPr="008D220A" w:rsidRDefault="00B50118" w:rsidP="00EF4EB6">
      <w:pPr>
        <w:rPr>
          <w:rFonts w:eastAsiaTheme="minorEastAsia"/>
          <w:lang w:val="en-US"/>
        </w:rPr>
      </w:pPr>
    </w:p>
    <w:p w14:paraId="0790A904" w14:textId="77777777" w:rsidR="00B50118" w:rsidRPr="008D220A" w:rsidRDefault="00B50118" w:rsidP="00EF4EB6">
      <w:pPr>
        <w:rPr>
          <w:rFonts w:eastAsiaTheme="minorEastAsia"/>
          <w:lang w:val="en-US"/>
        </w:rPr>
      </w:pPr>
    </w:p>
    <w:p w14:paraId="56086370" w14:textId="77777777" w:rsidR="00F753C5" w:rsidRPr="008D220A" w:rsidRDefault="00F753C5" w:rsidP="00EF4EB6">
      <w:pPr>
        <w:rPr>
          <w:rFonts w:eastAsiaTheme="minorEastAsia"/>
          <w:lang w:val="en-US"/>
        </w:rPr>
      </w:pPr>
    </w:p>
    <w:p w14:paraId="1ADBB421" w14:textId="77777777" w:rsidR="00F753C5" w:rsidRPr="008D220A" w:rsidRDefault="00F753C5" w:rsidP="00EF4EB6">
      <w:pPr>
        <w:rPr>
          <w:rFonts w:eastAsiaTheme="minorEastAsia"/>
          <w:lang w:val="en-US"/>
        </w:rPr>
      </w:pPr>
    </w:p>
    <w:p w14:paraId="799A13CD" w14:textId="77777777" w:rsidR="0047491B" w:rsidRPr="008D220A" w:rsidRDefault="00756736" w:rsidP="00B836F4">
      <w:pPr>
        <w:pStyle w:val="2"/>
        <w:rPr>
          <w:lang w:val="en-US"/>
        </w:rPr>
      </w:pPr>
      <w:r w:rsidRPr="008D220A">
        <w:rPr>
          <w:caps/>
          <w:lang w:val="en-US"/>
        </w:rPr>
        <w:lastRenderedPageBreak/>
        <w:fldChar w:fldCharType="end"/>
      </w:r>
      <w:r w:rsidR="00EF4EB6" w:rsidRPr="008D220A">
        <w:rPr>
          <w:lang w:val="en-US"/>
        </w:rPr>
        <w:t xml:space="preserve"> </w:t>
      </w:r>
      <w:bookmarkStart w:id="1" w:name="_Toc376123018"/>
      <w:r w:rsidR="00EF4EB6" w:rsidRPr="008D220A">
        <w:rPr>
          <w:lang w:val="en-US"/>
        </w:rPr>
        <w:t>Annotation</w:t>
      </w:r>
      <w:bookmarkEnd w:id="1"/>
      <w:r w:rsidR="00EF4EB6" w:rsidRPr="008D220A">
        <w:rPr>
          <w:lang w:val="en-US"/>
        </w:rPr>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8D220A" w:rsidRPr="008D220A" w14:paraId="35CC9EE8" w14:textId="77777777" w:rsidTr="00BB796D">
        <w:trPr>
          <w:trHeight w:val="139"/>
        </w:trPr>
        <w:tc>
          <w:tcPr>
            <w:tcW w:w="3168" w:type="dxa"/>
          </w:tcPr>
          <w:p w14:paraId="26F69A0F" w14:textId="77777777" w:rsidR="00BB796D" w:rsidRPr="008D220A" w:rsidRDefault="00BB796D" w:rsidP="00BB796D">
            <w:pPr>
              <w:pStyle w:val="Default"/>
              <w:rPr>
                <w:rFonts w:ascii="Arial" w:hAnsi="Arial" w:cs="Arial"/>
                <w:color w:val="auto"/>
              </w:rPr>
            </w:pPr>
            <w:r w:rsidRPr="008D220A">
              <w:rPr>
                <w:rFonts w:ascii="Arial" w:hAnsi="Arial" w:cs="Arial"/>
                <w:color w:val="auto"/>
              </w:rPr>
              <w:t>Project Title</w:t>
            </w:r>
          </w:p>
        </w:tc>
        <w:tc>
          <w:tcPr>
            <w:tcW w:w="6300" w:type="dxa"/>
          </w:tcPr>
          <w:p w14:paraId="5D80EB38" w14:textId="77777777" w:rsidR="00BB796D" w:rsidRPr="008D220A" w:rsidRDefault="00BB796D" w:rsidP="00BB796D">
            <w:pPr>
              <w:jc w:val="both"/>
              <w:rPr>
                <w:rFonts w:ascii="Arial" w:hAnsi="Arial" w:cs="Arial"/>
                <w:lang w:val="en-US"/>
              </w:rPr>
            </w:pPr>
            <w:r w:rsidRPr="008D220A">
              <w:rPr>
                <w:rFonts w:ascii="Arial" w:hAnsi="Arial" w:cs="Arial"/>
                <w:bCs/>
                <w:sz w:val="24"/>
                <w:szCs w:val="24"/>
                <w:lang w:val="en-US"/>
              </w:rPr>
              <w:t>Development and Commercialization of Bioenergy Technologies in the Municipal Sector in Ukraine</w:t>
            </w:r>
          </w:p>
        </w:tc>
      </w:tr>
      <w:tr w:rsidR="008D220A" w:rsidRPr="008D220A" w14:paraId="4B913A2E" w14:textId="77777777" w:rsidTr="00BB796D">
        <w:trPr>
          <w:trHeight w:val="139"/>
        </w:trPr>
        <w:tc>
          <w:tcPr>
            <w:tcW w:w="3168" w:type="dxa"/>
          </w:tcPr>
          <w:p w14:paraId="05F902C7" w14:textId="77777777" w:rsidR="00BB796D" w:rsidRPr="008D220A" w:rsidRDefault="00BB796D" w:rsidP="00BB796D">
            <w:pPr>
              <w:pStyle w:val="Default"/>
              <w:rPr>
                <w:rFonts w:ascii="Arial" w:hAnsi="Arial" w:cs="Arial"/>
                <w:color w:val="auto"/>
              </w:rPr>
            </w:pPr>
            <w:r w:rsidRPr="008D220A">
              <w:rPr>
                <w:rFonts w:ascii="Arial" w:hAnsi="Arial" w:cs="Arial"/>
                <w:color w:val="auto"/>
              </w:rPr>
              <w:t xml:space="preserve">Country </w:t>
            </w:r>
          </w:p>
        </w:tc>
        <w:tc>
          <w:tcPr>
            <w:tcW w:w="6300" w:type="dxa"/>
          </w:tcPr>
          <w:p w14:paraId="3CEC2D43" w14:textId="77777777" w:rsidR="00BB796D" w:rsidRPr="008D220A" w:rsidRDefault="00BB796D" w:rsidP="00BB796D">
            <w:pPr>
              <w:pStyle w:val="Default"/>
              <w:jc w:val="both"/>
              <w:rPr>
                <w:rFonts w:ascii="Arial" w:hAnsi="Arial" w:cs="Arial"/>
                <w:color w:val="auto"/>
              </w:rPr>
            </w:pPr>
            <w:r w:rsidRPr="008D220A">
              <w:rPr>
                <w:rFonts w:ascii="Arial" w:hAnsi="Arial" w:cs="Arial"/>
                <w:color w:val="auto"/>
              </w:rPr>
              <w:t>Ukraine</w:t>
            </w:r>
          </w:p>
        </w:tc>
      </w:tr>
      <w:tr w:rsidR="008D220A" w:rsidRPr="008D220A" w14:paraId="6F08EC55" w14:textId="77777777" w:rsidTr="00BB796D">
        <w:trPr>
          <w:trHeight w:val="139"/>
        </w:trPr>
        <w:tc>
          <w:tcPr>
            <w:tcW w:w="3168" w:type="dxa"/>
          </w:tcPr>
          <w:p w14:paraId="1D71E48F" w14:textId="77777777" w:rsidR="00BB796D" w:rsidRPr="008D220A" w:rsidRDefault="00BB796D" w:rsidP="00BB796D">
            <w:pPr>
              <w:pStyle w:val="Default"/>
              <w:rPr>
                <w:rFonts w:ascii="Arial" w:hAnsi="Arial" w:cs="Arial"/>
                <w:color w:val="auto"/>
              </w:rPr>
            </w:pPr>
            <w:r w:rsidRPr="008D220A">
              <w:rPr>
                <w:rFonts w:ascii="Arial" w:hAnsi="Arial" w:cs="Arial"/>
                <w:color w:val="auto"/>
              </w:rPr>
              <w:t>UNDP PIMS ID:</w:t>
            </w:r>
          </w:p>
          <w:p w14:paraId="355A005E" w14:textId="77777777" w:rsidR="00BB796D" w:rsidRPr="008D220A" w:rsidRDefault="00BB796D" w:rsidP="00BB796D">
            <w:pPr>
              <w:pStyle w:val="Default"/>
              <w:rPr>
                <w:rFonts w:ascii="Arial" w:hAnsi="Arial" w:cs="Arial"/>
                <w:color w:val="auto"/>
              </w:rPr>
            </w:pPr>
            <w:r w:rsidRPr="008D220A">
              <w:rPr>
                <w:rFonts w:ascii="Arial" w:hAnsi="Arial" w:cs="Arial"/>
                <w:color w:val="auto"/>
              </w:rPr>
              <w:t>GEF Project ID:</w:t>
            </w:r>
          </w:p>
        </w:tc>
        <w:tc>
          <w:tcPr>
            <w:tcW w:w="6300" w:type="dxa"/>
          </w:tcPr>
          <w:p w14:paraId="58CCD563" w14:textId="77777777" w:rsidR="00BB796D" w:rsidRPr="008D220A" w:rsidRDefault="00BB796D" w:rsidP="00BB796D">
            <w:pPr>
              <w:pStyle w:val="Default"/>
              <w:jc w:val="both"/>
              <w:rPr>
                <w:rFonts w:ascii="Arial" w:hAnsi="Arial" w:cs="Arial"/>
                <w:color w:val="auto"/>
              </w:rPr>
            </w:pPr>
            <w:r w:rsidRPr="008D220A">
              <w:rPr>
                <w:rFonts w:ascii="Arial" w:hAnsi="Arial" w:cs="Arial"/>
                <w:color w:val="auto"/>
              </w:rPr>
              <w:t>2921</w:t>
            </w:r>
          </w:p>
          <w:p w14:paraId="45231C7E" w14:textId="77777777" w:rsidR="00BB796D" w:rsidRPr="008D220A" w:rsidRDefault="00BB796D" w:rsidP="00BB796D">
            <w:pPr>
              <w:jc w:val="both"/>
              <w:rPr>
                <w:rFonts w:ascii="Arial" w:hAnsi="Arial" w:cs="Arial"/>
                <w:bCs/>
                <w:sz w:val="24"/>
                <w:szCs w:val="24"/>
                <w:lang w:val="en-US"/>
              </w:rPr>
            </w:pPr>
            <w:r w:rsidRPr="008D220A">
              <w:rPr>
                <w:rFonts w:ascii="Arial" w:hAnsi="Arial" w:cs="Arial"/>
                <w:sz w:val="24"/>
                <w:szCs w:val="24"/>
                <w:lang w:val="en-US"/>
              </w:rPr>
              <w:t>4377</w:t>
            </w:r>
          </w:p>
        </w:tc>
      </w:tr>
      <w:tr w:rsidR="008D220A" w:rsidRPr="008D220A" w14:paraId="087E0651" w14:textId="77777777" w:rsidTr="00BB796D">
        <w:trPr>
          <w:trHeight w:val="139"/>
        </w:trPr>
        <w:tc>
          <w:tcPr>
            <w:tcW w:w="3168" w:type="dxa"/>
          </w:tcPr>
          <w:p w14:paraId="445F5B8F" w14:textId="77777777" w:rsidR="00BB796D" w:rsidRPr="008D220A" w:rsidRDefault="00BB796D" w:rsidP="00BB796D">
            <w:pPr>
              <w:pStyle w:val="Default"/>
              <w:rPr>
                <w:rFonts w:ascii="Arial" w:hAnsi="Arial" w:cs="Arial"/>
                <w:color w:val="auto"/>
              </w:rPr>
            </w:pPr>
            <w:r w:rsidRPr="008D220A">
              <w:rPr>
                <w:rFonts w:ascii="Arial" w:hAnsi="Arial" w:cs="Arial"/>
                <w:color w:val="auto"/>
              </w:rPr>
              <w:t>Reporting Period</w:t>
            </w:r>
          </w:p>
        </w:tc>
        <w:tc>
          <w:tcPr>
            <w:tcW w:w="6300" w:type="dxa"/>
          </w:tcPr>
          <w:p w14:paraId="19485F55" w14:textId="2D334B24" w:rsidR="00BB796D" w:rsidRPr="008D220A" w:rsidRDefault="0038143F" w:rsidP="00BB796D">
            <w:pPr>
              <w:pStyle w:val="Default"/>
              <w:jc w:val="both"/>
              <w:rPr>
                <w:rFonts w:ascii="Arial" w:hAnsi="Arial" w:cs="Arial"/>
                <w:color w:val="auto"/>
              </w:rPr>
            </w:pPr>
            <w:r w:rsidRPr="008D220A">
              <w:rPr>
                <w:rFonts w:ascii="Arial" w:hAnsi="Arial" w:cs="Arial"/>
                <w:color w:val="auto"/>
              </w:rPr>
              <w:t>January – December 201</w:t>
            </w:r>
            <w:r w:rsidR="00D6078D" w:rsidRPr="008D220A">
              <w:rPr>
                <w:rFonts w:ascii="Arial" w:hAnsi="Arial" w:cs="Arial"/>
                <w:color w:val="auto"/>
              </w:rPr>
              <w:t>7</w:t>
            </w:r>
            <w:r w:rsidR="00BB796D" w:rsidRPr="008D220A">
              <w:rPr>
                <w:rFonts w:ascii="Arial" w:hAnsi="Arial" w:cs="Arial"/>
                <w:color w:val="auto"/>
              </w:rPr>
              <w:t xml:space="preserve"> (12 months) </w:t>
            </w:r>
          </w:p>
        </w:tc>
      </w:tr>
      <w:tr w:rsidR="008D220A" w:rsidRPr="008D220A" w14:paraId="012E57AE" w14:textId="77777777" w:rsidTr="00BB796D">
        <w:trPr>
          <w:trHeight w:val="139"/>
        </w:trPr>
        <w:tc>
          <w:tcPr>
            <w:tcW w:w="3168" w:type="dxa"/>
          </w:tcPr>
          <w:p w14:paraId="65C4FB02" w14:textId="77777777" w:rsidR="00BB796D" w:rsidRPr="008D220A" w:rsidRDefault="00BB796D" w:rsidP="00BB796D">
            <w:pPr>
              <w:pStyle w:val="Default"/>
              <w:rPr>
                <w:rFonts w:ascii="Arial" w:hAnsi="Arial" w:cs="Arial"/>
                <w:color w:val="auto"/>
              </w:rPr>
            </w:pPr>
            <w:r w:rsidRPr="008D220A">
              <w:rPr>
                <w:rFonts w:ascii="Arial" w:hAnsi="Arial" w:cs="Arial"/>
                <w:color w:val="auto"/>
              </w:rPr>
              <w:t>Donor</w:t>
            </w:r>
          </w:p>
        </w:tc>
        <w:tc>
          <w:tcPr>
            <w:tcW w:w="6300" w:type="dxa"/>
          </w:tcPr>
          <w:p w14:paraId="50DE74A9" w14:textId="77777777" w:rsidR="00BB796D" w:rsidRPr="008D220A" w:rsidRDefault="00BB796D" w:rsidP="00BB796D">
            <w:pPr>
              <w:pStyle w:val="Default"/>
              <w:jc w:val="both"/>
              <w:rPr>
                <w:rFonts w:ascii="Arial" w:hAnsi="Arial" w:cs="Arial"/>
                <w:color w:val="auto"/>
              </w:rPr>
            </w:pPr>
            <w:r w:rsidRPr="008D220A">
              <w:rPr>
                <w:rFonts w:ascii="Arial" w:hAnsi="Arial" w:cs="Arial"/>
                <w:color w:val="auto"/>
              </w:rPr>
              <w:t>The Global Environment Facility (GEF)</w:t>
            </w:r>
          </w:p>
        </w:tc>
      </w:tr>
      <w:tr w:rsidR="008D220A" w:rsidRPr="008D220A" w14:paraId="6BA2AEAC" w14:textId="77777777" w:rsidTr="00BB796D">
        <w:trPr>
          <w:trHeight w:val="139"/>
        </w:trPr>
        <w:tc>
          <w:tcPr>
            <w:tcW w:w="3168" w:type="dxa"/>
          </w:tcPr>
          <w:p w14:paraId="69E67158" w14:textId="77777777" w:rsidR="00BB796D" w:rsidRPr="008D220A" w:rsidRDefault="00BB796D" w:rsidP="00BB796D">
            <w:pPr>
              <w:pStyle w:val="Default"/>
              <w:rPr>
                <w:rFonts w:ascii="Arial" w:hAnsi="Arial" w:cs="Arial"/>
                <w:color w:val="auto"/>
              </w:rPr>
            </w:pPr>
            <w:r w:rsidRPr="008D220A">
              <w:rPr>
                <w:rFonts w:ascii="Arial" w:hAnsi="Arial" w:cs="Arial"/>
                <w:color w:val="auto"/>
              </w:rPr>
              <w:t>Funding Source</w:t>
            </w:r>
          </w:p>
        </w:tc>
        <w:tc>
          <w:tcPr>
            <w:tcW w:w="6300" w:type="dxa"/>
          </w:tcPr>
          <w:p w14:paraId="48973395" w14:textId="77777777" w:rsidR="00BB796D" w:rsidRPr="008D220A" w:rsidRDefault="00BB796D" w:rsidP="00BB796D">
            <w:pPr>
              <w:pStyle w:val="Default"/>
              <w:jc w:val="both"/>
              <w:rPr>
                <w:rStyle w:val="Style1"/>
                <w:rFonts w:ascii="Arial" w:hAnsi="Arial" w:cs="Arial"/>
                <w:color w:val="auto"/>
              </w:rPr>
            </w:pPr>
            <w:r w:rsidRPr="008D220A">
              <w:rPr>
                <w:rStyle w:val="Style1"/>
                <w:rFonts w:ascii="Arial" w:hAnsi="Arial" w:cs="Arial"/>
                <w:color w:val="auto"/>
              </w:rPr>
              <w:t>GEF Trust Fund</w:t>
            </w:r>
          </w:p>
        </w:tc>
      </w:tr>
      <w:tr w:rsidR="008D220A" w:rsidRPr="008D220A" w14:paraId="411FF327" w14:textId="77777777" w:rsidTr="00BB796D">
        <w:trPr>
          <w:trHeight w:val="139"/>
        </w:trPr>
        <w:tc>
          <w:tcPr>
            <w:tcW w:w="3168" w:type="dxa"/>
          </w:tcPr>
          <w:p w14:paraId="5B13EAA1" w14:textId="77777777" w:rsidR="00CB4CD7" w:rsidRPr="008D220A" w:rsidRDefault="00CB4CD7" w:rsidP="00BB796D">
            <w:pPr>
              <w:pStyle w:val="Default"/>
              <w:rPr>
                <w:rFonts w:ascii="Arial" w:hAnsi="Arial" w:cs="Arial"/>
                <w:color w:val="auto"/>
              </w:rPr>
            </w:pPr>
            <w:r w:rsidRPr="008D220A">
              <w:rPr>
                <w:rFonts w:ascii="Arial" w:hAnsi="Arial" w:cs="Arial"/>
                <w:color w:val="auto"/>
              </w:rPr>
              <w:t>Responsible Party</w:t>
            </w:r>
          </w:p>
        </w:tc>
        <w:tc>
          <w:tcPr>
            <w:tcW w:w="6300" w:type="dxa"/>
          </w:tcPr>
          <w:p w14:paraId="261CFCEE" w14:textId="77777777" w:rsidR="00CB4CD7" w:rsidRPr="008D220A" w:rsidRDefault="00CB4CD7" w:rsidP="00BB796D">
            <w:pPr>
              <w:pStyle w:val="Default"/>
              <w:jc w:val="both"/>
              <w:rPr>
                <w:rStyle w:val="Style1"/>
                <w:rFonts w:ascii="Arial" w:hAnsi="Arial" w:cs="Arial"/>
                <w:color w:val="auto"/>
              </w:rPr>
            </w:pPr>
            <w:r w:rsidRPr="008D220A">
              <w:rPr>
                <w:rFonts w:ascii="Arial" w:hAnsi="Arial" w:cs="Arial"/>
                <w:color w:val="auto"/>
              </w:rPr>
              <w:t>United Nations Development Programme</w:t>
            </w:r>
          </w:p>
        </w:tc>
      </w:tr>
      <w:tr w:rsidR="008D220A" w:rsidRPr="008D220A" w14:paraId="310AD63B" w14:textId="77777777" w:rsidTr="00BB796D">
        <w:trPr>
          <w:trHeight w:val="139"/>
        </w:trPr>
        <w:tc>
          <w:tcPr>
            <w:tcW w:w="3168" w:type="dxa"/>
          </w:tcPr>
          <w:p w14:paraId="01BFFDF5" w14:textId="77777777" w:rsidR="00CB4CD7" w:rsidRPr="008D220A" w:rsidRDefault="00CB4CD7" w:rsidP="00CB4CD7">
            <w:pPr>
              <w:pStyle w:val="Default"/>
              <w:rPr>
                <w:rFonts w:ascii="Arial" w:hAnsi="Arial" w:cs="Arial"/>
                <w:color w:val="auto"/>
              </w:rPr>
            </w:pPr>
            <w:r w:rsidRPr="008D220A">
              <w:rPr>
                <w:rFonts w:ascii="Arial" w:hAnsi="Arial" w:cs="Arial"/>
                <w:color w:val="auto"/>
              </w:rPr>
              <w:t>Implementing Partner(s)</w:t>
            </w:r>
          </w:p>
        </w:tc>
        <w:tc>
          <w:tcPr>
            <w:tcW w:w="6300" w:type="dxa"/>
          </w:tcPr>
          <w:p w14:paraId="3D7E4ADD" w14:textId="77777777" w:rsidR="00CB4CD7" w:rsidRPr="008D220A" w:rsidRDefault="00CB4CD7" w:rsidP="00CB4CD7">
            <w:pPr>
              <w:pStyle w:val="Default"/>
              <w:jc w:val="both"/>
              <w:rPr>
                <w:rFonts w:ascii="Arial" w:hAnsi="Arial" w:cs="Arial"/>
                <w:color w:val="auto"/>
              </w:rPr>
            </w:pPr>
            <w:r w:rsidRPr="008D220A">
              <w:rPr>
                <w:rFonts w:ascii="Arial" w:hAnsi="Arial" w:cs="Arial"/>
                <w:color w:val="auto"/>
              </w:rPr>
              <w:t>United Nations Development Programme</w:t>
            </w:r>
          </w:p>
        </w:tc>
      </w:tr>
      <w:tr w:rsidR="008D220A" w:rsidRPr="008D220A" w14:paraId="5C7413C6" w14:textId="77777777" w:rsidTr="00BB796D">
        <w:trPr>
          <w:trHeight w:val="548"/>
        </w:trPr>
        <w:tc>
          <w:tcPr>
            <w:tcW w:w="3168" w:type="dxa"/>
          </w:tcPr>
          <w:p w14:paraId="07C96D07" w14:textId="77777777" w:rsidR="00CB4CD7" w:rsidRPr="008D220A" w:rsidRDefault="00CB4CD7" w:rsidP="00CB4CD7">
            <w:pPr>
              <w:pStyle w:val="Default"/>
              <w:rPr>
                <w:rFonts w:ascii="Arial" w:hAnsi="Arial" w:cs="Arial"/>
                <w:color w:val="auto"/>
              </w:rPr>
            </w:pPr>
            <w:r w:rsidRPr="008D220A">
              <w:rPr>
                <w:rFonts w:ascii="Arial" w:hAnsi="Arial" w:cs="Arial"/>
                <w:color w:val="auto"/>
              </w:rPr>
              <w:t>Project ID (Atlas):</w:t>
            </w:r>
          </w:p>
          <w:p w14:paraId="556865FB" w14:textId="77777777" w:rsidR="00CB4CD7" w:rsidRPr="008D220A" w:rsidRDefault="00CB4CD7" w:rsidP="00CB4CD7">
            <w:pPr>
              <w:pStyle w:val="Default"/>
              <w:rPr>
                <w:rFonts w:ascii="Arial" w:hAnsi="Arial" w:cs="Arial"/>
                <w:color w:val="auto"/>
              </w:rPr>
            </w:pPr>
            <w:r w:rsidRPr="008D220A">
              <w:rPr>
                <w:rFonts w:ascii="Arial" w:hAnsi="Arial" w:cs="Arial"/>
                <w:color w:val="auto"/>
              </w:rPr>
              <w:t>Outputs ID (Atlas):</w:t>
            </w:r>
          </w:p>
        </w:tc>
        <w:tc>
          <w:tcPr>
            <w:tcW w:w="6300" w:type="dxa"/>
          </w:tcPr>
          <w:p w14:paraId="211D301E" w14:textId="77777777" w:rsidR="00CB4CD7" w:rsidRPr="008D220A" w:rsidRDefault="00CB4CD7" w:rsidP="00CB4CD7">
            <w:pPr>
              <w:pStyle w:val="Default"/>
              <w:jc w:val="both"/>
              <w:rPr>
                <w:rStyle w:val="Style1"/>
                <w:rFonts w:ascii="Arial" w:hAnsi="Arial" w:cs="Arial"/>
                <w:color w:val="auto"/>
              </w:rPr>
            </w:pPr>
            <w:r w:rsidRPr="008D220A">
              <w:rPr>
                <w:rStyle w:val="Style1"/>
                <w:rFonts w:ascii="Arial" w:hAnsi="Arial" w:cs="Arial"/>
                <w:color w:val="auto"/>
              </w:rPr>
              <w:t>00074537</w:t>
            </w:r>
          </w:p>
          <w:p w14:paraId="77CBB1E2" w14:textId="77777777" w:rsidR="00CB4CD7" w:rsidRPr="008D220A" w:rsidRDefault="00CB4CD7" w:rsidP="00CB4CD7">
            <w:pPr>
              <w:pStyle w:val="Default"/>
              <w:jc w:val="both"/>
              <w:rPr>
                <w:rFonts w:ascii="Arial" w:hAnsi="Arial" w:cs="Arial"/>
                <w:color w:val="auto"/>
              </w:rPr>
            </w:pPr>
            <w:r w:rsidRPr="008D220A">
              <w:rPr>
                <w:rFonts w:ascii="Arial" w:hAnsi="Arial" w:cs="Arial"/>
                <w:color w:val="auto"/>
              </w:rPr>
              <w:t>00086891</w:t>
            </w:r>
          </w:p>
        </w:tc>
      </w:tr>
      <w:tr w:rsidR="008D220A" w:rsidRPr="008D220A" w14:paraId="223D0E59" w14:textId="77777777" w:rsidTr="00BB796D">
        <w:trPr>
          <w:trHeight w:val="273"/>
        </w:trPr>
        <w:tc>
          <w:tcPr>
            <w:tcW w:w="3168" w:type="dxa"/>
          </w:tcPr>
          <w:p w14:paraId="6C2789B0" w14:textId="77777777" w:rsidR="00CB4CD7" w:rsidRPr="008D220A" w:rsidRDefault="00CB4CD7" w:rsidP="00CB4CD7">
            <w:pPr>
              <w:pStyle w:val="Default"/>
              <w:rPr>
                <w:rFonts w:ascii="Arial" w:hAnsi="Arial" w:cs="Arial"/>
                <w:color w:val="auto"/>
              </w:rPr>
            </w:pPr>
            <w:r w:rsidRPr="008D220A">
              <w:rPr>
                <w:rFonts w:ascii="Arial" w:hAnsi="Arial" w:cs="Arial"/>
                <w:color w:val="auto"/>
              </w:rPr>
              <w:t xml:space="preserve">Project Start Date </w:t>
            </w:r>
          </w:p>
        </w:tc>
        <w:tc>
          <w:tcPr>
            <w:tcW w:w="6300" w:type="dxa"/>
          </w:tcPr>
          <w:p w14:paraId="43DA2152" w14:textId="77777777" w:rsidR="00CB4CD7" w:rsidRPr="008D220A" w:rsidRDefault="00CB4CD7" w:rsidP="00CB4CD7">
            <w:pPr>
              <w:pStyle w:val="Default"/>
              <w:jc w:val="both"/>
              <w:rPr>
                <w:rFonts w:ascii="Arial" w:hAnsi="Arial" w:cs="Arial"/>
                <w:color w:val="auto"/>
              </w:rPr>
            </w:pPr>
            <w:r w:rsidRPr="008D220A">
              <w:rPr>
                <w:rFonts w:ascii="Arial" w:hAnsi="Arial" w:cs="Arial"/>
                <w:color w:val="auto"/>
              </w:rPr>
              <w:t>24 June 2014</w:t>
            </w:r>
          </w:p>
        </w:tc>
      </w:tr>
      <w:tr w:rsidR="008D220A" w:rsidRPr="008D220A" w14:paraId="0ED33546" w14:textId="77777777" w:rsidTr="00BB796D">
        <w:trPr>
          <w:trHeight w:val="273"/>
        </w:trPr>
        <w:tc>
          <w:tcPr>
            <w:tcW w:w="3168" w:type="dxa"/>
          </w:tcPr>
          <w:p w14:paraId="1B5C31B8" w14:textId="77777777" w:rsidR="00CB4CD7" w:rsidRPr="008D220A" w:rsidRDefault="00CB4CD7" w:rsidP="00CB4CD7">
            <w:pPr>
              <w:pStyle w:val="Default"/>
              <w:rPr>
                <w:rFonts w:ascii="Arial" w:hAnsi="Arial" w:cs="Arial"/>
                <w:color w:val="auto"/>
              </w:rPr>
            </w:pPr>
            <w:r w:rsidRPr="008D220A">
              <w:rPr>
                <w:rFonts w:ascii="Arial" w:hAnsi="Arial" w:cs="Arial"/>
                <w:color w:val="auto"/>
              </w:rPr>
              <w:t>Project End Date</w:t>
            </w:r>
          </w:p>
        </w:tc>
        <w:tc>
          <w:tcPr>
            <w:tcW w:w="6300" w:type="dxa"/>
          </w:tcPr>
          <w:p w14:paraId="3AEC1AF6" w14:textId="5091B9C0" w:rsidR="00CB4CD7" w:rsidRPr="008D220A" w:rsidRDefault="007929DF" w:rsidP="00CB4CD7">
            <w:pPr>
              <w:pStyle w:val="Default"/>
              <w:jc w:val="both"/>
              <w:rPr>
                <w:rFonts w:ascii="Arial" w:hAnsi="Arial" w:cs="Arial"/>
                <w:color w:val="auto"/>
              </w:rPr>
            </w:pPr>
            <w:r w:rsidRPr="008D220A">
              <w:rPr>
                <w:rFonts w:ascii="Arial" w:hAnsi="Arial" w:cs="Arial"/>
                <w:color w:val="auto"/>
              </w:rPr>
              <w:t xml:space="preserve">23 </w:t>
            </w:r>
            <w:r w:rsidR="00D6078D" w:rsidRPr="008D220A">
              <w:rPr>
                <w:rFonts w:ascii="Arial" w:hAnsi="Arial" w:cs="Arial"/>
                <w:color w:val="auto"/>
              </w:rPr>
              <w:t>June</w:t>
            </w:r>
            <w:r w:rsidR="00CB4CD7" w:rsidRPr="008D220A">
              <w:rPr>
                <w:rFonts w:ascii="Arial" w:hAnsi="Arial" w:cs="Arial"/>
                <w:color w:val="auto"/>
              </w:rPr>
              <w:t xml:space="preserve"> 2018</w:t>
            </w:r>
          </w:p>
        </w:tc>
      </w:tr>
      <w:tr w:rsidR="008D220A" w:rsidRPr="008D220A" w14:paraId="1E2BE248" w14:textId="77777777" w:rsidTr="00BB796D">
        <w:trPr>
          <w:trHeight w:val="273"/>
        </w:trPr>
        <w:tc>
          <w:tcPr>
            <w:tcW w:w="3168" w:type="dxa"/>
          </w:tcPr>
          <w:p w14:paraId="57AF731A" w14:textId="77777777" w:rsidR="00CB4CD7" w:rsidRPr="008D220A" w:rsidRDefault="00CB4CD7" w:rsidP="00CB4CD7">
            <w:pPr>
              <w:pStyle w:val="Default"/>
              <w:rPr>
                <w:rFonts w:ascii="Arial" w:hAnsi="Arial" w:cs="Arial"/>
                <w:color w:val="auto"/>
              </w:rPr>
            </w:pPr>
            <w:r w:rsidRPr="008D220A">
              <w:rPr>
                <w:rFonts w:ascii="Arial" w:hAnsi="Arial" w:cs="Arial"/>
                <w:color w:val="auto"/>
              </w:rPr>
              <w:t xml:space="preserve">GEF grant </w:t>
            </w:r>
          </w:p>
        </w:tc>
        <w:tc>
          <w:tcPr>
            <w:tcW w:w="6300" w:type="dxa"/>
          </w:tcPr>
          <w:p w14:paraId="00DFA0E3" w14:textId="77777777" w:rsidR="00CB4CD7" w:rsidRPr="008D220A" w:rsidRDefault="00CB4CD7" w:rsidP="00BC55CB">
            <w:pPr>
              <w:pStyle w:val="Default"/>
              <w:jc w:val="both"/>
              <w:rPr>
                <w:rFonts w:ascii="Arial" w:hAnsi="Arial" w:cs="Arial"/>
                <w:color w:val="auto"/>
              </w:rPr>
            </w:pPr>
            <w:r w:rsidRPr="008D220A">
              <w:rPr>
                <w:rFonts w:ascii="Arial" w:hAnsi="Arial" w:cs="Arial"/>
                <w:color w:val="auto"/>
              </w:rPr>
              <w:t>4,7</w:t>
            </w:r>
            <w:r w:rsidR="00BC55CB" w:rsidRPr="008D220A">
              <w:rPr>
                <w:rFonts w:ascii="Arial" w:hAnsi="Arial" w:cs="Arial"/>
                <w:color w:val="auto"/>
              </w:rPr>
              <w:t>0</w:t>
            </w:r>
            <w:r w:rsidRPr="008D220A">
              <w:rPr>
                <w:rFonts w:ascii="Arial" w:hAnsi="Arial" w:cs="Arial"/>
                <w:color w:val="auto"/>
              </w:rPr>
              <w:t>0,000</w:t>
            </w:r>
            <w:r w:rsidR="002137BD" w:rsidRPr="008D220A">
              <w:rPr>
                <w:rFonts w:ascii="Arial" w:hAnsi="Arial" w:cs="Arial"/>
                <w:color w:val="auto"/>
              </w:rPr>
              <w:t>.00</w:t>
            </w:r>
            <w:r w:rsidRPr="008D220A">
              <w:rPr>
                <w:rFonts w:ascii="Arial" w:hAnsi="Arial" w:cs="Arial"/>
                <w:color w:val="auto"/>
              </w:rPr>
              <w:t xml:space="preserve"> USD </w:t>
            </w:r>
          </w:p>
        </w:tc>
      </w:tr>
      <w:tr w:rsidR="008D220A" w:rsidRPr="008D220A" w14:paraId="3E3C3370" w14:textId="77777777" w:rsidTr="00BB796D">
        <w:trPr>
          <w:trHeight w:val="273"/>
        </w:trPr>
        <w:tc>
          <w:tcPr>
            <w:tcW w:w="3168" w:type="dxa"/>
          </w:tcPr>
          <w:p w14:paraId="1494B861" w14:textId="77777777" w:rsidR="00CB4CD7" w:rsidRPr="008D220A" w:rsidRDefault="00CB4CD7" w:rsidP="00CB4CD7">
            <w:pPr>
              <w:pStyle w:val="Default"/>
              <w:rPr>
                <w:rFonts w:ascii="Arial" w:hAnsi="Arial" w:cs="Arial"/>
                <w:color w:val="auto"/>
              </w:rPr>
            </w:pPr>
            <w:r w:rsidRPr="008D220A">
              <w:rPr>
                <w:rFonts w:ascii="Arial" w:hAnsi="Arial" w:cs="Arial"/>
                <w:color w:val="auto"/>
              </w:rPr>
              <w:t xml:space="preserve">Co-financing </w:t>
            </w:r>
          </w:p>
        </w:tc>
        <w:tc>
          <w:tcPr>
            <w:tcW w:w="6300" w:type="dxa"/>
          </w:tcPr>
          <w:p w14:paraId="28722683" w14:textId="77777777" w:rsidR="00CB4CD7" w:rsidRPr="008D220A" w:rsidRDefault="00CB4CD7" w:rsidP="00CB4CD7">
            <w:pPr>
              <w:pStyle w:val="Default"/>
              <w:jc w:val="both"/>
              <w:rPr>
                <w:rFonts w:ascii="Arial" w:hAnsi="Arial" w:cs="Arial"/>
                <w:color w:val="auto"/>
              </w:rPr>
            </w:pPr>
            <w:r w:rsidRPr="008D220A">
              <w:rPr>
                <w:rFonts w:ascii="Arial" w:hAnsi="Arial" w:cs="Arial"/>
                <w:color w:val="auto"/>
              </w:rPr>
              <w:t>30,057,500</w:t>
            </w:r>
            <w:r w:rsidR="002137BD" w:rsidRPr="008D220A">
              <w:rPr>
                <w:rFonts w:ascii="Arial" w:hAnsi="Arial" w:cs="Arial"/>
                <w:color w:val="auto"/>
              </w:rPr>
              <w:t>.00</w:t>
            </w:r>
            <w:r w:rsidRPr="008D220A">
              <w:rPr>
                <w:rFonts w:ascii="Arial" w:hAnsi="Arial" w:cs="Arial"/>
                <w:color w:val="auto"/>
              </w:rPr>
              <w:t xml:space="preserve"> USD</w:t>
            </w:r>
          </w:p>
        </w:tc>
      </w:tr>
      <w:tr w:rsidR="008D220A" w:rsidRPr="008D220A" w14:paraId="4C66172C" w14:textId="77777777" w:rsidTr="00BB796D">
        <w:trPr>
          <w:trHeight w:val="139"/>
        </w:trPr>
        <w:tc>
          <w:tcPr>
            <w:tcW w:w="3168" w:type="dxa"/>
          </w:tcPr>
          <w:p w14:paraId="268E2898" w14:textId="3FCC70D9" w:rsidR="00CB4CD7" w:rsidRPr="008D220A" w:rsidRDefault="003D31A6" w:rsidP="00CB4CD7">
            <w:pPr>
              <w:pStyle w:val="Default"/>
              <w:rPr>
                <w:rFonts w:ascii="Arial" w:hAnsi="Arial" w:cs="Arial"/>
                <w:color w:val="auto"/>
              </w:rPr>
            </w:pPr>
            <w:r w:rsidRPr="008D220A">
              <w:rPr>
                <w:rFonts w:ascii="Arial" w:hAnsi="Arial" w:cs="Arial"/>
                <w:color w:val="auto"/>
              </w:rPr>
              <w:t>201</w:t>
            </w:r>
            <w:r w:rsidR="00D6078D" w:rsidRPr="008D220A">
              <w:rPr>
                <w:rFonts w:ascii="Arial" w:hAnsi="Arial" w:cs="Arial"/>
                <w:color w:val="auto"/>
              </w:rPr>
              <w:t>7</w:t>
            </w:r>
            <w:r w:rsidR="00CB4CD7" w:rsidRPr="008D220A">
              <w:rPr>
                <w:rFonts w:ascii="Arial" w:hAnsi="Arial" w:cs="Arial"/>
                <w:color w:val="auto"/>
              </w:rPr>
              <w:t xml:space="preserve"> Annual Work Plan Budget </w:t>
            </w:r>
          </w:p>
        </w:tc>
        <w:tc>
          <w:tcPr>
            <w:tcW w:w="6300" w:type="dxa"/>
          </w:tcPr>
          <w:p w14:paraId="36B8035F" w14:textId="2BA2E5C4" w:rsidR="00CB4CD7" w:rsidRPr="008D220A" w:rsidRDefault="007929DF" w:rsidP="003D31A6">
            <w:pPr>
              <w:pStyle w:val="Default"/>
              <w:jc w:val="both"/>
              <w:rPr>
                <w:rFonts w:ascii="Arial" w:hAnsi="Arial" w:cs="Arial"/>
                <w:color w:val="auto"/>
              </w:rPr>
            </w:pPr>
            <w:r w:rsidRPr="008D220A">
              <w:rPr>
                <w:rFonts w:ascii="Arial" w:hAnsi="Arial" w:cs="Arial"/>
                <w:color w:val="auto"/>
              </w:rPr>
              <w:t>855,248.00 USD</w:t>
            </w:r>
          </w:p>
        </w:tc>
      </w:tr>
      <w:tr w:rsidR="008D220A" w:rsidRPr="008D220A" w14:paraId="708BB256" w14:textId="77777777" w:rsidTr="00BB796D">
        <w:trPr>
          <w:trHeight w:val="139"/>
        </w:trPr>
        <w:tc>
          <w:tcPr>
            <w:tcW w:w="3168" w:type="dxa"/>
          </w:tcPr>
          <w:p w14:paraId="0393CDA7" w14:textId="7B5FF86C" w:rsidR="00D01E04" w:rsidRPr="008D220A" w:rsidRDefault="00D01E04" w:rsidP="00CB4CD7">
            <w:pPr>
              <w:pStyle w:val="Default"/>
              <w:rPr>
                <w:rFonts w:ascii="Arial" w:hAnsi="Arial" w:cs="Arial"/>
                <w:color w:val="auto"/>
              </w:rPr>
            </w:pPr>
            <w:r w:rsidRPr="008D220A">
              <w:rPr>
                <w:rFonts w:ascii="Arial" w:hAnsi="Arial" w:cs="Arial"/>
                <w:color w:val="auto"/>
              </w:rPr>
              <w:t>201</w:t>
            </w:r>
            <w:r w:rsidR="00D6078D" w:rsidRPr="008D220A">
              <w:rPr>
                <w:rFonts w:ascii="Arial" w:hAnsi="Arial" w:cs="Arial"/>
                <w:color w:val="auto"/>
              </w:rPr>
              <w:t>7</w:t>
            </w:r>
            <w:r w:rsidRPr="008D220A">
              <w:rPr>
                <w:rFonts w:ascii="Arial" w:hAnsi="Arial" w:cs="Arial"/>
                <w:color w:val="auto"/>
              </w:rPr>
              <w:t xml:space="preserve"> Annual Delivery</w:t>
            </w:r>
          </w:p>
        </w:tc>
        <w:tc>
          <w:tcPr>
            <w:tcW w:w="6300" w:type="dxa"/>
          </w:tcPr>
          <w:p w14:paraId="58452AE7" w14:textId="33E0EE91" w:rsidR="00D01E04" w:rsidRPr="008D220A" w:rsidRDefault="007929DF" w:rsidP="003D31A6">
            <w:pPr>
              <w:pStyle w:val="Default"/>
              <w:jc w:val="both"/>
              <w:rPr>
                <w:rFonts w:ascii="Arial" w:hAnsi="Arial" w:cs="Arial"/>
                <w:color w:val="auto"/>
                <w:shd w:val="clear" w:color="auto" w:fill="FFFFFF" w:themeFill="background1"/>
              </w:rPr>
            </w:pPr>
            <w:r w:rsidRPr="008D220A">
              <w:rPr>
                <w:rFonts w:ascii="Arial" w:hAnsi="Arial" w:cs="Arial"/>
                <w:color w:val="auto"/>
                <w:shd w:val="clear" w:color="auto" w:fill="FFFFFF" w:themeFill="background1"/>
              </w:rPr>
              <w:t xml:space="preserve">704,042.00 USD </w:t>
            </w:r>
          </w:p>
        </w:tc>
      </w:tr>
      <w:tr w:rsidR="008D220A" w:rsidRPr="008D220A" w14:paraId="1E6D4830" w14:textId="77777777" w:rsidTr="00D01E04">
        <w:trPr>
          <w:trHeight w:val="139"/>
        </w:trPr>
        <w:tc>
          <w:tcPr>
            <w:tcW w:w="3168" w:type="dxa"/>
          </w:tcPr>
          <w:p w14:paraId="3A4585F4" w14:textId="091AF156" w:rsidR="002137BD" w:rsidRPr="008D220A" w:rsidRDefault="002137BD" w:rsidP="00CB4CD7">
            <w:pPr>
              <w:pStyle w:val="Default"/>
              <w:rPr>
                <w:rFonts w:ascii="Arial" w:hAnsi="Arial" w:cs="Arial"/>
                <w:color w:val="auto"/>
              </w:rPr>
            </w:pPr>
            <w:r w:rsidRPr="008D220A">
              <w:rPr>
                <w:rFonts w:ascii="Arial" w:hAnsi="Arial" w:cs="Arial"/>
                <w:color w:val="auto"/>
              </w:rPr>
              <w:t xml:space="preserve">Total project expenditures </w:t>
            </w:r>
            <w:r w:rsidR="00D01E04" w:rsidRPr="008D220A">
              <w:rPr>
                <w:rFonts w:ascii="Arial" w:hAnsi="Arial" w:cs="Arial"/>
                <w:color w:val="auto"/>
              </w:rPr>
              <w:t>as of 31.12.201</w:t>
            </w:r>
            <w:r w:rsidR="00D6078D" w:rsidRPr="008D220A">
              <w:rPr>
                <w:rFonts w:ascii="Arial" w:hAnsi="Arial" w:cs="Arial"/>
                <w:color w:val="auto"/>
              </w:rPr>
              <w:t>7</w:t>
            </w:r>
            <w:r w:rsidRPr="008D220A">
              <w:rPr>
                <w:rFonts w:ascii="Arial" w:hAnsi="Arial" w:cs="Arial"/>
                <w:color w:val="auto"/>
              </w:rPr>
              <w:t xml:space="preserve"> since the project start</w:t>
            </w:r>
          </w:p>
        </w:tc>
        <w:tc>
          <w:tcPr>
            <w:tcW w:w="6300" w:type="dxa"/>
            <w:shd w:val="clear" w:color="auto" w:fill="FFFFFF" w:themeFill="background1"/>
          </w:tcPr>
          <w:p w14:paraId="1830AD19" w14:textId="45E92F6C" w:rsidR="00D01E04" w:rsidRPr="008D220A" w:rsidRDefault="008D220A" w:rsidP="008D220A">
            <w:pPr>
              <w:pStyle w:val="Default"/>
              <w:jc w:val="both"/>
              <w:rPr>
                <w:rFonts w:ascii="Arial" w:hAnsi="Arial" w:cs="Arial"/>
                <w:color w:val="auto"/>
              </w:rPr>
            </w:pPr>
            <w:r w:rsidRPr="008D220A">
              <w:rPr>
                <w:rFonts w:ascii="Arial" w:hAnsi="Arial" w:cs="Arial"/>
                <w:color w:val="auto"/>
              </w:rPr>
              <w:t>3</w:t>
            </w:r>
            <w:r w:rsidR="00D01E04" w:rsidRPr="008D220A">
              <w:rPr>
                <w:rFonts w:ascii="Arial" w:hAnsi="Arial" w:cs="Arial"/>
                <w:color w:val="auto"/>
              </w:rPr>
              <w:t>,</w:t>
            </w:r>
            <w:r w:rsidRPr="008D220A">
              <w:rPr>
                <w:rFonts w:ascii="Arial" w:hAnsi="Arial" w:cs="Arial"/>
                <w:color w:val="auto"/>
              </w:rPr>
              <w:t>199</w:t>
            </w:r>
            <w:r w:rsidR="00D01E04" w:rsidRPr="008D220A">
              <w:rPr>
                <w:rFonts w:ascii="Arial" w:hAnsi="Arial" w:cs="Arial"/>
                <w:color w:val="auto"/>
              </w:rPr>
              <w:t>,</w:t>
            </w:r>
            <w:r w:rsidRPr="008D220A">
              <w:rPr>
                <w:rFonts w:ascii="Arial" w:hAnsi="Arial" w:cs="Arial"/>
                <w:color w:val="auto"/>
              </w:rPr>
              <w:t>014</w:t>
            </w:r>
            <w:r w:rsidR="00D01E04" w:rsidRPr="008D220A">
              <w:rPr>
                <w:rFonts w:ascii="Arial" w:hAnsi="Arial" w:cs="Arial"/>
                <w:color w:val="auto"/>
              </w:rPr>
              <w:t>.</w:t>
            </w:r>
            <w:r w:rsidRPr="008D220A">
              <w:rPr>
                <w:rFonts w:ascii="Arial" w:hAnsi="Arial" w:cs="Arial"/>
                <w:color w:val="auto"/>
              </w:rPr>
              <w:t>00</w:t>
            </w:r>
            <w:r w:rsidR="00D01E04" w:rsidRPr="008D220A">
              <w:rPr>
                <w:rFonts w:ascii="Arial" w:hAnsi="Arial" w:cs="Arial"/>
                <w:color w:val="auto"/>
              </w:rPr>
              <w:t xml:space="preserve"> USD</w:t>
            </w:r>
            <w:r w:rsidR="00553C0F" w:rsidRPr="008D220A">
              <w:rPr>
                <w:rFonts w:ascii="Arial" w:hAnsi="Arial" w:cs="Arial"/>
                <w:color w:val="auto"/>
              </w:rPr>
              <w:t xml:space="preserve"> </w:t>
            </w:r>
          </w:p>
        </w:tc>
      </w:tr>
      <w:tr w:rsidR="008D220A" w:rsidRPr="008D220A" w14:paraId="37CA5445" w14:textId="77777777" w:rsidTr="00BB796D">
        <w:trPr>
          <w:trHeight w:val="139"/>
        </w:trPr>
        <w:tc>
          <w:tcPr>
            <w:tcW w:w="3168" w:type="dxa"/>
          </w:tcPr>
          <w:p w14:paraId="61772470" w14:textId="77777777" w:rsidR="00CB4CD7" w:rsidRPr="008D220A" w:rsidRDefault="00CB4CD7" w:rsidP="00CB4CD7">
            <w:pPr>
              <w:pStyle w:val="Default"/>
              <w:rPr>
                <w:rFonts w:ascii="Arial" w:hAnsi="Arial" w:cs="Arial"/>
                <w:color w:val="auto"/>
              </w:rPr>
            </w:pPr>
            <w:r w:rsidRPr="008D220A">
              <w:rPr>
                <w:rFonts w:ascii="Arial" w:hAnsi="Arial" w:cs="Arial"/>
                <w:color w:val="auto"/>
              </w:rPr>
              <w:t>UNDP Project Manager</w:t>
            </w:r>
          </w:p>
        </w:tc>
        <w:tc>
          <w:tcPr>
            <w:tcW w:w="6300" w:type="dxa"/>
          </w:tcPr>
          <w:p w14:paraId="32BDD613" w14:textId="77777777" w:rsidR="00CB4CD7" w:rsidRPr="008D220A" w:rsidRDefault="00CB4CD7" w:rsidP="00CB4CD7">
            <w:pPr>
              <w:pStyle w:val="Default"/>
              <w:jc w:val="both"/>
              <w:rPr>
                <w:rFonts w:ascii="Arial" w:hAnsi="Arial" w:cs="Arial"/>
                <w:color w:val="auto"/>
              </w:rPr>
            </w:pPr>
            <w:r w:rsidRPr="008D220A">
              <w:rPr>
                <w:rFonts w:ascii="Arial" w:hAnsi="Arial" w:cs="Arial"/>
                <w:color w:val="auto"/>
              </w:rPr>
              <w:t>Mr. Volodymyr Lyashchenko, Project Manager</w:t>
            </w:r>
          </w:p>
        </w:tc>
      </w:tr>
      <w:tr w:rsidR="008D220A" w:rsidRPr="008D220A" w14:paraId="0488D244" w14:textId="77777777" w:rsidTr="00BB796D">
        <w:trPr>
          <w:trHeight w:val="604"/>
        </w:trPr>
        <w:tc>
          <w:tcPr>
            <w:tcW w:w="3168" w:type="dxa"/>
          </w:tcPr>
          <w:p w14:paraId="680FABD6" w14:textId="018FCBD4" w:rsidR="00CB4CD7" w:rsidRPr="008D220A" w:rsidRDefault="00CB4CD7" w:rsidP="00CB4CD7">
            <w:pPr>
              <w:pStyle w:val="Default"/>
              <w:rPr>
                <w:rFonts w:ascii="Arial" w:hAnsi="Arial" w:cs="Arial"/>
                <w:color w:val="auto"/>
              </w:rPr>
            </w:pPr>
            <w:r w:rsidRPr="008D220A">
              <w:rPr>
                <w:rFonts w:ascii="Arial" w:hAnsi="Arial" w:cs="Arial"/>
                <w:color w:val="auto"/>
              </w:rPr>
              <w:t>UNDP Contact Person</w:t>
            </w:r>
            <w:r w:rsidR="007929DF" w:rsidRPr="008D220A">
              <w:rPr>
                <w:rFonts w:ascii="Arial" w:hAnsi="Arial" w:cs="Arial"/>
                <w:color w:val="auto"/>
              </w:rPr>
              <w:t xml:space="preserve"> During 2017 </w:t>
            </w:r>
          </w:p>
        </w:tc>
        <w:tc>
          <w:tcPr>
            <w:tcW w:w="6300" w:type="dxa"/>
          </w:tcPr>
          <w:p w14:paraId="62B86A0A" w14:textId="77777777" w:rsidR="00CB4CD7" w:rsidRPr="008D220A" w:rsidRDefault="00CB4CD7" w:rsidP="008D220A">
            <w:pPr>
              <w:pStyle w:val="Default"/>
              <w:jc w:val="both"/>
              <w:rPr>
                <w:rFonts w:ascii="Arial" w:hAnsi="Arial" w:cs="Arial"/>
                <w:color w:val="auto"/>
              </w:rPr>
            </w:pPr>
            <w:r w:rsidRPr="008D220A">
              <w:rPr>
                <w:rFonts w:ascii="Arial" w:hAnsi="Arial" w:cs="Arial"/>
                <w:color w:val="auto"/>
              </w:rPr>
              <w:t>Mr. Sergei Volkov, Senior Programme Manager, UNDP Ukraine</w:t>
            </w:r>
          </w:p>
          <w:p w14:paraId="3C40299A" w14:textId="685661F1" w:rsidR="007929DF" w:rsidRPr="008D220A" w:rsidRDefault="007929DF" w:rsidP="008D220A">
            <w:pPr>
              <w:pStyle w:val="Default"/>
              <w:jc w:val="both"/>
              <w:rPr>
                <w:rFonts w:ascii="Arial" w:hAnsi="Arial" w:cs="Arial"/>
                <w:color w:val="auto"/>
              </w:rPr>
            </w:pPr>
            <w:r w:rsidRPr="008D220A">
              <w:rPr>
                <w:rFonts w:ascii="Arial" w:hAnsi="Arial" w:cs="Arial"/>
                <w:color w:val="auto"/>
              </w:rPr>
              <w:t xml:space="preserve">Mrs. Olena Maslyukivska-Samberg, Programme Analyst, UNDP Ukraine </w:t>
            </w:r>
          </w:p>
        </w:tc>
      </w:tr>
    </w:tbl>
    <w:p w14:paraId="5DA4E0BD" w14:textId="0D3C4AE6" w:rsidR="00AB2831" w:rsidRPr="008D220A" w:rsidRDefault="00B44C76" w:rsidP="0020516B">
      <w:pPr>
        <w:pStyle w:val="2"/>
        <w:spacing w:after="0"/>
        <w:rPr>
          <w:lang w:val="en-US"/>
        </w:rPr>
      </w:pPr>
      <w:bookmarkStart w:id="2" w:name="_Toc456609882"/>
      <w:bookmarkStart w:id="3" w:name="_Toc456610082"/>
      <w:bookmarkStart w:id="4" w:name="_Toc456640051"/>
      <w:bookmarkStart w:id="5" w:name="_Toc456642829"/>
      <w:bookmarkStart w:id="6" w:name="_Toc469440879"/>
      <w:bookmarkStart w:id="7" w:name="_Toc469440957"/>
      <w:bookmarkStart w:id="8" w:name="_Toc473458419"/>
      <w:bookmarkStart w:id="9" w:name="_Toc154300537"/>
      <w:r w:rsidRPr="008D220A">
        <w:rPr>
          <w:lang w:val="en-US"/>
        </w:rPr>
        <w:softHyphen/>
      </w:r>
      <w:bookmarkEnd w:id="2"/>
      <w:bookmarkEnd w:id="3"/>
      <w:bookmarkEnd w:id="4"/>
      <w:bookmarkEnd w:id="5"/>
      <w:bookmarkEnd w:id="6"/>
      <w:bookmarkEnd w:id="7"/>
      <w:bookmarkEnd w:id="8"/>
    </w:p>
    <w:p w14:paraId="194EACCC" w14:textId="77777777" w:rsidR="00AB2831" w:rsidRPr="008D220A" w:rsidRDefault="00AB2831" w:rsidP="0020516B">
      <w:pPr>
        <w:pStyle w:val="2"/>
        <w:spacing w:after="0"/>
        <w:rPr>
          <w:lang w:val="en-US"/>
        </w:rPr>
      </w:pPr>
    </w:p>
    <w:p w14:paraId="5D6CAC2E" w14:textId="77777777" w:rsidR="00AB2831" w:rsidRDefault="00AB2831" w:rsidP="0020516B">
      <w:pPr>
        <w:pStyle w:val="2"/>
        <w:spacing w:after="0"/>
        <w:rPr>
          <w:lang w:val="en-US"/>
        </w:rPr>
      </w:pPr>
    </w:p>
    <w:p w14:paraId="437B297E" w14:textId="77777777" w:rsidR="008D220A" w:rsidRDefault="008D220A" w:rsidP="008D220A">
      <w:pPr>
        <w:rPr>
          <w:lang w:val="en-US"/>
        </w:rPr>
      </w:pPr>
    </w:p>
    <w:p w14:paraId="66F38C74" w14:textId="77777777" w:rsidR="008D220A" w:rsidRDefault="008D220A" w:rsidP="008D220A">
      <w:pPr>
        <w:rPr>
          <w:lang w:val="en-US"/>
        </w:rPr>
      </w:pPr>
    </w:p>
    <w:p w14:paraId="28603B7F" w14:textId="77777777" w:rsidR="008D220A" w:rsidRDefault="008D220A" w:rsidP="008D220A">
      <w:pPr>
        <w:rPr>
          <w:lang w:val="en-US"/>
        </w:rPr>
      </w:pPr>
    </w:p>
    <w:p w14:paraId="0ED74C8F" w14:textId="77777777" w:rsidR="008D220A" w:rsidRDefault="008D220A" w:rsidP="008D220A">
      <w:pPr>
        <w:rPr>
          <w:lang w:val="en-US"/>
        </w:rPr>
      </w:pPr>
    </w:p>
    <w:p w14:paraId="74A0C01F" w14:textId="77777777" w:rsidR="008D220A" w:rsidRDefault="008D220A" w:rsidP="008D220A">
      <w:pPr>
        <w:rPr>
          <w:lang w:val="en-US"/>
        </w:rPr>
      </w:pPr>
    </w:p>
    <w:p w14:paraId="55F74B9D" w14:textId="77777777" w:rsidR="008D220A" w:rsidRDefault="008D220A" w:rsidP="008D220A">
      <w:pPr>
        <w:rPr>
          <w:lang w:val="en-US"/>
        </w:rPr>
      </w:pPr>
    </w:p>
    <w:p w14:paraId="0B1CA4AC" w14:textId="77777777" w:rsidR="008D220A" w:rsidRDefault="008D220A" w:rsidP="008D220A">
      <w:pPr>
        <w:rPr>
          <w:lang w:val="en-US"/>
        </w:rPr>
      </w:pPr>
    </w:p>
    <w:p w14:paraId="64E61DC5" w14:textId="77777777" w:rsidR="008D220A" w:rsidRDefault="008D220A" w:rsidP="008D220A">
      <w:pPr>
        <w:rPr>
          <w:lang w:val="en-US"/>
        </w:rPr>
      </w:pPr>
    </w:p>
    <w:p w14:paraId="6B10ECC0" w14:textId="77777777" w:rsidR="008D220A" w:rsidRPr="008D220A" w:rsidRDefault="008D220A" w:rsidP="008D220A">
      <w:pPr>
        <w:rPr>
          <w:lang w:val="en-US"/>
        </w:rPr>
      </w:pPr>
    </w:p>
    <w:p w14:paraId="2D164351" w14:textId="77777777" w:rsidR="00AB2831" w:rsidRPr="008D220A" w:rsidRDefault="00AB2831" w:rsidP="0020516B">
      <w:pPr>
        <w:pStyle w:val="2"/>
        <w:spacing w:after="0"/>
        <w:rPr>
          <w:lang w:val="en-US"/>
        </w:rPr>
      </w:pPr>
    </w:p>
    <w:p w14:paraId="54F85BCD" w14:textId="77777777" w:rsidR="007929DF" w:rsidRDefault="007929DF" w:rsidP="0020516B">
      <w:pPr>
        <w:pStyle w:val="2"/>
        <w:spacing w:after="0"/>
        <w:rPr>
          <w:lang w:val="en-US"/>
        </w:rPr>
      </w:pPr>
      <w:bookmarkStart w:id="10" w:name="_Toc376123019"/>
    </w:p>
    <w:p w14:paraId="2C8AA5DC" w14:textId="77777777" w:rsidR="008D220A" w:rsidRDefault="008D220A" w:rsidP="008D220A">
      <w:pPr>
        <w:rPr>
          <w:lang w:val="en-US"/>
        </w:rPr>
      </w:pPr>
    </w:p>
    <w:p w14:paraId="5E09C35C" w14:textId="77777777" w:rsidR="008D220A" w:rsidRDefault="008D220A" w:rsidP="008D220A">
      <w:pPr>
        <w:rPr>
          <w:lang w:val="en-US"/>
        </w:rPr>
      </w:pPr>
    </w:p>
    <w:p w14:paraId="3798837A" w14:textId="77777777" w:rsidR="008D220A" w:rsidRPr="008D220A" w:rsidRDefault="008D220A" w:rsidP="008D220A">
      <w:pPr>
        <w:rPr>
          <w:lang w:val="en-US"/>
        </w:rPr>
      </w:pPr>
    </w:p>
    <w:p w14:paraId="7BE403C9" w14:textId="77777777" w:rsidR="000E3DAA" w:rsidRPr="008D220A" w:rsidRDefault="000E3DAA" w:rsidP="0020516B">
      <w:pPr>
        <w:pStyle w:val="2"/>
        <w:spacing w:after="0"/>
        <w:rPr>
          <w:lang w:val="en-US"/>
        </w:rPr>
      </w:pPr>
      <w:r w:rsidRPr="008D220A">
        <w:rPr>
          <w:lang w:val="en-US"/>
        </w:rPr>
        <w:lastRenderedPageBreak/>
        <w:t>Purpose of the Report</w:t>
      </w:r>
      <w:bookmarkEnd w:id="10"/>
      <w:r w:rsidRPr="008D220A">
        <w:rPr>
          <w:lang w:val="en-US"/>
        </w:rPr>
        <w:t xml:space="preserve"> </w:t>
      </w:r>
      <w:bookmarkEnd w:id="9"/>
    </w:p>
    <w:p w14:paraId="75723013" w14:textId="77777777" w:rsidR="00572BB9" w:rsidRPr="008D220A" w:rsidRDefault="00740883" w:rsidP="0028189A">
      <w:pPr>
        <w:pStyle w:val="m7598261622838100721gmail-default"/>
        <w:shd w:val="clear" w:color="auto" w:fill="FFFFFF"/>
        <w:jc w:val="both"/>
        <w:rPr>
          <w:rFonts w:ascii="Arial" w:hAnsi="Arial" w:cs="Arial"/>
          <w:lang w:val="en-US"/>
        </w:rPr>
      </w:pPr>
      <w:r w:rsidRPr="008D220A">
        <w:rPr>
          <w:rFonts w:ascii="Arial" w:hAnsi="Arial" w:cs="Arial"/>
          <w:lang w:val="en-US"/>
        </w:rPr>
        <w:t>This report represents a narrative Annual Status Report of the project “</w:t>
      </w:r>
      <w:r w:rsidRPr="008D220A">
        <w:rPr>
          <w:rFonts w:ascii="Arial" w:hAnsi="Arial" w:cs="Arial"/>
          <w:bCs/>
          <w:lang w:val="en-US"/>
        </w:rPr>
        <w:t>Development and Commercialization of Bioenergy Technologies in the Municipal Sector in Ukraine</w:t>
      </w:r>
      <w:r w:rsidRPr="008D220A">
        <w:rPr>
          <w:rFonts w:ascii="Arial" w:hAnsi="Arial" w:cs="Arial"/>
          <w:lang w:val="en-US"/>
        </w:rPr>
        <w:t xml:space="preserve">”. </w:t>
      </w:r>
      <w:r w:rsidR="0076230A" w:rsidRPr="008D220A">
        <w:rPr>
          <w:rFonts w:ascii="Arial" w:hAnsi="Arial" w:cs="Arial"/>
          <w:lang w:val="en-US"/>
        </w:rPr>
        <w:t>This report is</w:t>
      </w:r>
      <w:r w:rsidRPr="008D220A">
        <w:rPr>
          <w:rFonts w:ascii="Arial" w:hAnsi="Arial" w:cs="Arial"/>
          <w:lang w:val="en-US"/>
        </w:rPr>
        <w:t xml:space="preserve"> not mandatory within the </w:t>
      </w:r>
      <w:r w:rsidR="00572BB9" w:rsidRPr="008D220A">
        <w:rPr>
          <w:rFonts w:ascii="Arial" w:hAnsi="Arial" w:cs="Arial"/>
          <w:lang w:val="en-US"/>
        </w:rPr>
        <w:t xml:space="preserve">UNDP-GEF </w:t>
      </w:r>
      <w:r w:rsidRPr="008D220A">
        <w:rPr>
          <w:rFonts w:ascii="Arial" w:hAnsi="Arial" w:cs="Arial"/>
          <w:lang w:val="en-US"/>
        </w:rPr>
        <w:t xml:space="preserve">project implementation framework, given the </w:t>
      </w:r>
      <w:r w:rsidR="00C608CD" w:rsidRPr="008D220A">
        <w:rPr>
          <w:rFonts w:ascii="Arial" w:hAnsi="Arial" w:cs="Arial"/>
          <w:lang w:val="en-US"/>
        </w:rPr>
        <w:t xml:space="preserve">Annual Project Review/Project Implementation Reports (APR/PIR) </w:t>
      </w:r>
      <w:r w:rsidRPr="008D220A">
        <w:rPr>
          <w:rFonts w:ascii="Arial" w:hAnsi="Arial" w:cs="Arial"/>
          <w:lang w:val="en-US"/>
        </w:rPr>
        <w:t>combin</w:t>
      </w:r>
      <w:r w:rsidR="00572BB9" w:rsidRPr="008D220A">
        <w:rPr>
          <w:rFonts w:ascii="Arial" w:hAnsi="Arial" w:cs="Arial"/>
          <w:lang w:val="en-US"/>
        </w:rPr>
        <w:t>ing</w:t>
      </w:r>
      <w:r w:rsidRPr="008D220A">
        <w:rPr>
          <w:rFonts w:ascii="Arial" w:hAnsi="Arial" w:cs="Arial"/>
          <w:lang w:val="en-US"/>
        </w:rPr>
        <w:t xml:space="preserve"> both UNDP and GEF reporting formats</w:t>
      </w:r>
      <w:r w:rsidR="00C608CD" w:rsidRPr="008D220A">
        <w:rPr>
          <w:rFonts w:ascii="Arial" w:hAnsi="Arial" w:cs="Arial"/>
          <w:lang w:val="en-US"/>
        </w:rPr>
        <w:t xml:space="preserve"> is a key report under monitoring and evaluation requirements for this project prepared annually to monitor progress made since project start and in particular for the previous report</w:t>
      </w:r>
      <w:r w:rsidRPr="008D220A">
        <w:rPr>
          <w:rFonts w:ascii="Arial" w:hAnsi="Arial" w:cs="Arial"/>
          <w:lang w:val="en-US"/>
        </w:rPr>
        <w:t>ing period (30 June to 1 July)</w:t>
      </w:r>
      <w:r w:rsidR="00572BB9" w:rsidRPr="008D220A">
        <w:rPr>
          <w:rFonts w:ascii="Arial" w:hAnsi="Arial" w:cs="Arial"/>
          <w:lang w:val="en-US"/>
        </w:rPr>
        <w:t xml:space="preserve">. </w:t>
      </w:r>
    </w:p>
    <w:p w14:paraId="38AB450F" w14:textId="77777777" w:rsidR="009523E7" w:rsidRPr="008D220A" w:rsidRDefault="00572BB9" w:rsidP="00572BB9">
      <w:pPr>
        <w:ind w:right="50"/>
        <w:jc w:val="both"/>
        <w:rPr>
          <w:rFonts w:ascii="Arial" w:hAnsi="Arial" w:cs="Arial"/>
          <w:b/>
          <w:sz w:val="24"/>
          <w:szCs w:val="24"/>
          <w:lang w:val="en-US"/>
        </w:rPr>
      </w:pPr>
      <w:r w:rsidRPr="008D220A">
        <w:rPr>
          <w:rFonts w:ascii="Arial" w:hAnsi="Arial" w:cs="Arial"/>
          <w:sz w:val="24"/>
          <w:szCs w:val="24"/>
          <w:lang w:val="en-US"/>
        </w:rPr>
        <w:t xml:space="preserve">Being supplementary progress report, it </w:t>
      </w:r>
      <w:r w:rsidR="00740883" w:rsidRPr="008D220A">
        <w:rPr>
          <w:rFonts w:ascii="Arial" w:hAnsi="Arial" w:cs="Arial"/>
          <w:sz w:val="24"/>
          <w:szCs w:val="24"/>
          <w:lang w:val="en-US"/>
        </w:rPr>
        <w:t xml:space="preserve">is aimed at providing more detailed description and analysis of the project implementation progress, results achieved, challenges encountered, lessons learned and outlook for the future. </w:t>
      </w:r>
      <w:r w:rsidR="009523E7" w:rsidRPr="008D220A">
        <w:rPr>
          <w:rFonts w:ascii="Arial" w:hAnsi="Arial" w:cs="Arial"/>
          <w:sz w:val="24"/>
          <w:szCs w:val="24"/>
          <w:lang w:val="en-US"/>
        </w:rPr>
        <w:t xml:space="preserve">This report is structured using the donor reporting template applicable to projects that receive non-core resource contributions through third party cost sharing agreements.  </w:t>
      </w:r>
    </w:p>
    <w:p w14:paraId="1D85298B" w14:textId="77777777" w:rsidR="00947A07" w:rsidRPr="008D220A" w:rsidRDefault="00947A07" w:rsidP="00AB2831">
      <w:pPr>
        <w:rPr>
          <w:lang w:val="en-US"/>
        </w:rPr>
      </w:pPr>
    </w:p>
    <w:p w14:paraId="18976BDA" w14:textId="77777777" w:rsidR="00947A07" w:rsidRPr="008D220A" w:rsidRDefault="00947A07" w:rsidP="00AB2831">
      <w:pPr>
        <w:rPr>
          <w:lang w:val="en-US"/>
        </w:rPr>
      </w:pPr>
    </w:p>
    <w:p w14:paraId="04114013" w14:textId="77777777" w:rsidR="00947A07" w:rsidRPr="008D220A" w:rsidRDefault="00947A07" w:rsidP="00AB2831">
      <w:pPr>
        <w:rPr>
          <w:lang w:val="en-US"/>
        </w:rPr>
      </w:pPr>
    </w:p>
    <w:p w14:paraId="24D3BD05" w14:textId="77777777" w:rsidR="00947A07" w:rsidRPr="008D220A" w:rsidRDefault="00947A07" w:rsidP="00AB2831">
      <w:pPr>
        <w:rPr>
          <w:lang w:val="en-US"/>
        </w:rPr>
      </w:pPr>
    </w:p>
    <w:p w14:paraId="6A07316B" w14:textId="77777777" w:rsidR="003E1FF7" w:rsidRPr="008D220A" w:rsidRDefault="003E1FF7" w:rsidP="00AB2831">
      <w:pPr>
        <w:rPr>
          <w:lang w:val="en-US"/>
        </w:rPr>
      </w:pPr>
    </w:p>
    <w:p w14:paraId="30FFD673" w14:textId="77777777" w:rsidR="00AB2831" w:rsidRPr="008D220A" w:rsidRDefault="00AB2831" w:rsidP="00AB2831">
      <w:pPr>
        <w:rPr>
          <w:lang w:val="en-US"/>
        </w:rPr>
      </w:pPr>
    </w:p>
    <w:p w14:paraId="61D2C7ED" w14:textId="77777777" w:rsidR="00AB2831" w:rsidRPr="008D220A" w:rsidRDefault="00AB2831" w:rsidP="00AB2831">
      <w:pPr>
        <w:rPr>
          <w:lang w:val="en-US"/>
        </w:rPr>
      </w:pPr>
    </w:p>
    <w:p w14:paraId="6E4CBA3E" w14:textId="77777777" w:rsidR="00AB2831" w:rsidRPr="008D220A" w:rsidRDefault="00AB2831" w:rsidP="00AB2831">
      <w:pPr>
        <w:rPr>
          <w:lang w:val="en-US"/>
        </w:rPr>
      </w:pPr>
    </w:p>
    <w:p w14:paraId="1091D2FD" w14:textId="77777777" w:rsidR="00AB2831" w:rsidRDefault="00AB2831" w:rsidP="00AB2831">
      <w:pPr>
        <w:rPr>
          <w:lang w:val="en-US"/>
        </w:rPr>
      </w:pPr>
    </w:p>
    <w:p w14:paraId="70F8BE1A" w14:textId="77777777" w:rsidR="008D220A" w:rsidRDefault="008D220A" w:rsidP="00AB2831">
      <w:pPr>
        <w:rPr>
          <w:lang w:val="en-US"/>
        </w:rPr>
      </w:pPr>
    </w:p>
    <w:p w14:paraId="3E288EC9" w14:textId="77777777" w:rsidR="008D220A" w:rsidRDefault="008D220A" w:rsidP="00AB2831">
      <w:pPr>
        <w:rPr>
          <w:lang w:val="en-US"/>
        </w:rPr>
      </w:pPr>
    </w:p>
    <w:p w14:paraId="34FA7E86" w14:textId="77777777" w:rsidR="008D220A" w:rsidRDefault="008D220A" w:rsidP="00AB2831">
      <w:pPr>
        <w:rPr>
          <w:lang w:val="en-US"/>
        </w:rPr>
      </w:pPr>
    </w:p>
    <w:p w14:paraId="08D4BBCA" w14:textId="77777777" w:rsidR="008D220A" w:rsidRDefault="008D220A" w:rsidP="00AB2831">
      <w:pPr>
        <w:rPr>
          <w:lang w:val="en-US"/>
        </w:rPr>
      </w:pPr>
    </w:p>
    <w:p w14:paraId="6434F771" w14:textId="77777777" w:rsidR="008D220A" w:rsidRDefault="008D220A" w:rsidP="00AB2831">
      <w:pPr>
        <w:rPr>
          <w:lang w:val="en-US"/>
        </w:rPr>
      </w:pPr>
    </w:p>
    <w:p w14:paraId="5F0599B1" w14:textId="77777777" w:rsidR="008D220A" w:rsidRDefault="008D220A" w:rsidP="00AB2831">
      <w:pPr>
        <w:rPr>
          <w:lang w:val="en-US"/>
        </w:rPr>
      </w:pPr>
    </w:p>
    <w:p w14:paraId="74E60DDD" w14:textId="77777777" w:rsidR="008D220A" w:rsidRDefault="008D220A" w:rsidP="00AB2831">
      <w:pPr>
        <w:rPr>
          <w:lang w:val="en-US"/>
        </w:rPr>
      </w:pPr>
    </w:p>
    <w:p w14:paraId="38AECD13" w14:textId="77777777" w:rsidR="008D220A" w:rsidRDefault="008D220A" w:rsidP="00AB2831">
      <w:pPr>
        <w:rPr>
          <w:lang w:val="en-US"/>
        </w:rPr>
      </w:pPr>
    </w:p>
    <w:p w14:paraId="24FE1A0F" w14:textId="77777777" w:rsidR="008D220A" w:rsidRDefault="008D220A" w:rsidP="00AB2831">
      <w:pPr>
        <w:rPr>
          <w:lang w:val="en-US"/>
        </w:rPr>
      </w:pPr>
    </w:p>
    <w:p w14:paraId="433A8837" w14:textId="77777777" w:rsidR="008D220A" w:rsidRDefault="008D220A" w:rsidP="00AB2831">
      <w:pPr>
        <w:rPr>
          <w:lang w:val="en-US"/>
        </w:rPr>
      </w:pPr>
    </w:p>
    <w:p w14:paraId="37888CDC" w14:textId="77777777" w:rsidR="008D220A" w:rsidRDefault="008D220A" w:rsidP="00AB2831">
      <w:pPr>
        <w:rPr>
          <w:lang w:val="en-US"/>
        </w:rPr>
      </w:pPr>
    </w:p>
    <w:p w14:paraId="0C909676" w14:textId="77777777" w:rsidR="008D220A" w:rsidRDefault="008D220A" w:rsidP="00AB2831">
      <w:pPr>
        <w:rPr>
          <w:lang w:val="en-US"/>
        </w:rPr>
      </w:pPr>
    </w:p>
    <w:p w14:paraId="21E8EBBC" w14:textId="77777777" w:rsidR="008D220A" w:rsidRDefault="008D220A" w:rsidP="00AB2831">
      <w:pPr>
        <w:rPr>
          <w:lang w:val="en-US"/>
        </w:rPr>
      </w:pPr>
    </w:p>
    <w:p w14:paraId="7FA84DFB" w14:textId="77777777" w:rsidR="008D220A" w:rsidRDefault="008D220A" w:rsidP="00AB2831">
      <w:pPr>
        <w:rPr>
          <w:lang w:val="en-US"/>
        </w:rPr>
      </w:pPr>
    </w:p>
    <w:p w14:paraId="76C48958" w14:textId="77777777" w:rsidR="008D220A" w:rsidRDefault="008D220A" w:rsidP="00AB2831">
      <w:pPr>
        <w:rPr>
          <w:lang w:val="en-US"/>
        </w:rPr>
      </w:pPr>
    </w:p>
    <w:p w14:paraId="6CD5FC36" w14:textId="77777777" w:rsidR="008D220A" w:rsidRDefault="008D220A" w:rsidP="00AB2831">
      <w:pPr>
        <w:rPr>
          <w:lang w:val="en-US"/>
        </w:rPr>
      </w:pPr>
    </w:p>
    <w:p w14:paraId="68399E93" w14:textId="77777777" w:rsidR="008D220A" w:rsidRDefault="008D220A" w:rsidP="00AB2831">
      <w:pPr>
        <w:rPr>
          <w:lang w:val="en-US"/>
        </w:rPr>
      </w:pPr>
    </w:p>
    <w:p w14:paraId="05854A18" w14:textId="77777777" w:rsidR="008D220A" w:rsidRDefault="008D220A" w:rsidP="00AB2831">
      <w:pPr>
        <w:rPr>
          <w:lang w:val="en-US"/>
        </w:rPr>
      </w:pPr>
    </w:p>
    <w:p w14:paraId="65782247" w14:textId="77777777" w:rsidR="008D220A" w:rsidRDefault="008D220A" w:rsidP="00AB2831">
      <w:pPr>
        <w:rPr>
          <w:lang w:val="en-US"/>
        </w:rPr>
      </w:pPr>
    </w:p>
    <w:p w14:paraId="4CC7FA66" w14:textId="77777777" w:rsidR="008D220A" w:rsidRDefault="008D220A" w:rsidP="00AB2831">
      <w:pPr>
        <w:rPr>
          <w:lang w:val="en-US"/>
        </w:rPr>
      </w:pPr>
    </w:p>
    <w:p w14:paraId="2EDDF784" w14:textId="77777777" w:rsidR="008D220A" w:rsidRDefault="008D220A" w:rsidP="00AB2831">
      <w:pPr>
        <w:rPr>
          <w:lang w:val="en-US"/>
        </w:rPr>
      </w:pPr>
    </w:p>
    <w:p w14:paraId="146D6257" w14:textId="77777777" w:rsidR="008D220A" w:rsidRDefault="008D220A" w:rsidP="00AB2831">
      <w:pPr>
        <w:rPr>
          <w:lang w:val="en-US"/>
        </w:rPr>
      </w:pPr>
    </w:p>
    <w:p w14:paraId="43625FD9" w14:textId="77777777" w:rsidR="008D220A" w:rsidRDefault="008D220A" w:rsidP="00AB2831">
      <w:pPr>
        <w:rPr>
          <w:lang w:val="en-US"/>
        </w:rPr>
      </w:pPr>
    </w:p>
    <w:p w14:paraId="3003E32C" w14:textId="77777777" w:rsidR="008D220A" w:rsidRDefault="008D220A" w:rsidP="00AB2831">
      <w:pPr>
        <w:rPr>
          <w:lang w:val="en-US"/>
        </w:rPr>
      </w:pPr>
    </w:p>
    <w:p w14:paraId="202ED292" w14:textId="77777777" w:rsidR="008D220A" w:rsidRDefault="008D220A" w:rsidP="00AB2831">
      <w:pPr>
        <w:rPr>
          <w:lang w:val="en-US"/>
        </w:rPr>
      </w:pPr>
    </w:p>
    <w:p w14:paraId="3F50FEBC" w14:textId="77777777" w:rsidR="008D220A" w:rsidRDefault="008D220A" w:rsidP="00AB2831">
      <w:pPr>
        <w:rPr>
          <w:lang w:val="en-US"/>
        </w:rPr>
      </w:pPr>
    </w:p>
    <w:p w14:paraId="21494804" w14:textId="77777777" w:rsidR="008D220A" w:rsidRDefault="008D220A" w:rsidP="00AB2831">
      <w:pPr>
        <w:rPr>
          <w:lang w:val="en-US"/>
        </w:rPr>
      </w:pPr>
    </w:p>
    <w:p w14:paraId="135C9381" w14:textId="77777777" w:rsidR="008D220A" w:rsidRDefault="008D220A" w:rsidP="00AB2831">
      <w:pPr>
        <w:rPr>
          <w:lang w:val="en-US"/>
        </w:rPr>
      </w:pPr>
    </w:p>
    <w:p w14:paraId="61936B5E" w14:textId="77777777" w:rsidR="008D220A" w:rsidRDefault="008D220A" w:rsidP="00AB2831">
      <w:pPr>
        <w:rPr>
          <w:lang w:val="en-US"/>
        </w:rPr>
      </w:pPr>
    </w:p>
    <w:p w14:paraId="6F8AD521" w14:textId="77777777" w:rsidR="008D220A" w:rsidRDefault="008D220A" w:rsidP="00AB2831">
      <w:pPr>
        <w:rPr>
          <w:lang w:val="en-US"/>
        </w:rPr>
      </w:pPr>
    </w:p>
    <w:p w14:paraId="3C1F46FA" w14:textId="77777777" w:rsidR="008D220A" w:rsidRDefault="008D220A" w:rsidP="00AB2831">
      <w:pPr>
        <w:rPr>
          <w:lang w:val="en-US"/>
        </w:rPr>
      </w:pPr>
    </w:p>
    <w:p w14:paraId="16F2C58E" w14:textId="77777777" w:rsidR="008D220A" w:rsidRDefault="008D220A" w:rsidP="00AB2831">
      <w:pPr>
        <w:rPr>
          <w:lang w:val="en-US"/>
        </w:rPr>
      </w:pPr>
    </w:p>
    <w:p w14:paraId="7A919F2A" w14:textId="77777777" w:rsidR="008D220A" w:rsidRDefault="008D220A" w:rsidP="00AB2831">
      <w:pPr>
        <w:rPr>
          <w:lang w:val="en-US"/>
        </w:rPr>
      </w:pPr>
    </w:p>
    <w:p w14:paraId="3F941282" w14:textId="77777777" w:rsidR="008D220A" w:rsidRDefault="008D220A" w:rsidP="00AB2831">
      <w:pPr>
        <w:rPr>
          <w:lang w:val="en-US"/>
        </w:rPr>
      </w:pPr>
    </w:p>
    <w:p w14:paraId="2E96CFA2" w14:textId="77777777" w:rsidR="008D220A" w:rsidRPr="008D220A" w:rsidRDefault="008D220A" w:rsidP="00AB2831">
      <w:pPr>
        <w:rPr>
          <w:lang w:val="en-US"/>
        </w:rPr>
      </w:pPr>
    </w:p>
    <w:p w14:paraId="4557EE21" w14:textId="77777777" w:rsidR="00AB2831" w:rsidRPr="008D220A" w:rsidRDefault="00AB2831" w:rsidP="00AB2831">
      <w:pPr>
        <w:rPr>
          <w:lang w:val="en-US"/>
        </w:rPr>
      </w:pPr>
    </w:p>
    <w:p w14:paraId="595746FF" w14:textId="77777777" w:rsidR="00EF4EB6" w:rsidRPr="008D220A" w:rsidRDefault="00EF4EB6" w:rsidP="00AB2831">
      <w:pPr>
        <w:pStyle w:val="2"/>
        <w:spacing w:before="0" w:after="0"/>
        <w:rPr>
          <w:lang w:val="en-US"/>
        </w:rPr>
      </w:pPr>
      <w:bookmarkStart w:id="11" w:name="_Toc376123020"/>
      <w:r w:rsidRPr="008D220A">
        <w:rPr>
          <w:lang w:val="en-US"/>
        </w:rPr>
        <w:lastRenderedPageBreak/>
        <w:t>Acronyms</w:t>
      </w:r>
      <w:bookmarkEnd w:id="11"/>
      <w:r w:rsidRPr="008D220A">
        <w:rPr>
          <w:lang w:val="en-US"/>
        </w:rPr>
        <w:t xml:space="preserve"> </w:t>
      </w:r>
    </w:p>
    <w:p w14:paraId="044B8AC5" w14:textId="77777777" w:rsidR="0044141E" w:rsidRPr="008D220A" w:rsidRDefault="0044141E" w:rsidP="0044141E">
      <w:pPr>
        <w:rPr>
          <w:lang w:val="en-US"/>
        </w:rPr>
      </w:pPr>
    </w:p>
    <w:p w14:paraId="61174AC8" w14:textId="77777777" w:rsidR="00EF4EB6" w:rsidRPr="008D220A" w:rsidRDefault="00EF4EB6" w:rsidP="00EF4EB6">
      <w:pPr>
        <w:pStyle w:val="Default"/>
        <w:spacing w:line="360" w:lineRule="auto"/>
        <w:rPr>
          <w:rFonts w:ascii="Arial" w:hAnsi="Arial" w:cs="Arial"/>
          <w:color w:val="auto"/>
        </w:rPr>
      </w:pPr>
      <w:r w:rsidRPr="008D220A">
        <w:rPr>
          <w:rFonts w:ascii="Arial" w:hAnsi="Arial" w:cs="Arial"/>
          <w:color w:val="auto"/>
        </w:rPr>
        <w:t>ATLAS</w:t>
      </w:r>
      <w:r w:rsidRPr="008D220A">
        <w:rPr>
          <w:rFonts w:ascii="Arial" w:hAnsi="Arial" w:cs="Arial"/>
          <w:color w:val="auto"/>
        </w:rPr>
        <w:tab/>
        <w:t xml:space="preserve">Corporate business platform of UNDP </w:t>
      </w:r>
    </w:p>
    <w:p w14:paraId="559CC2BB" w14:textId="77777777" w:rsidR="00EF4EB6" w:rsidRPr="008D220A" w:rsidRDefault="00EF4EB6" w:rsidP="00EF4EB6">
      <w:pPr>
        <w:pStyle w:val="Default"/>
        <w:spacing w:line="360" w:lineRule="auto"/>
        <w:rPr>
          <w:rFonts w:ascii="Arial" w:hAnsi="Arial" w:cs="Arial"/>
          <w:color w:val="auto"/>
        </w:rPr>
      </w:pPr>
      <w:r w:rsidRPr="008D220A">
        <w:rPr>
          <w:rFonts w:ascii="Arial" w:hAnsi="Arial" w:cs="Arial"/>
          <w:color w:val="auto"/>
        </w:rPr>
        <w:t xml:space="preserve">AWP </w:t>
      </w:r>
      <w:r w:rsidRPr="008D220A">
        <w:rPr>
          <w:rFonts w:ascii="Arial" w:hAnsi="Arial" w:cs="Arial"/>
          <w:color w:val="auto"/>
        </w:rPr>
        <w:tab/>
      </w:r>
      <w:r w:rsidRPr="008D220A">
        <w:rPr>
          <w:rFonts w:ascii="Arial" w:hAnsi="Arial" w:cs="Arial"/>
          <w:color w:val="auto"/>
        </w:rPr>
        <w:tab/>
        <w:t xml:space="preserve">Annual Work Plan </w:t>
      </w:r>
    </w:p>
    <w:p w14:paraId="79E7653C" w14:textId="77777777" w:rsidR="00EF4EB6" w:rsidRPr="008D220A" w:rsidRDefault="00EF4EB6" w:rsidP="00EF4EB6">
      <w:pPr>
        <w:spacing w:line="360" w:lineRule="auto"/>
        <w:rPr>
          <w:rFonts w:ascii="Arial" w:hAnsi="Arial" w:cs="Arial"/>
          <w:sz w:val="24"/>
          <w:szCs w:val="24"/>
          <w:lang w:val="en-US"/>
        </w:rPr>
      </w:pPr>
      <w:r w:rsidRPr="008D220A">
        <w:rPr>
          <w:rFonts w:ascii="Arial" w:hAnsi="Arial" w:cs="Arial"/>
          <w:sz w:val="24"/>
          <w:szCs w:val="24"/>
          <w:lang w:val="en-US"/>
        </w:rPr>
        <w:t xml:space="preserve">CO </w:t>
      </w:r>
      <w:r w:rsidRPr="008D220A">
        <w:rPr>
          <w:rFonts w:ascii="Arial" w:hAnsi="Arial" w:cs="Arial"/>
          <w:sz w:val="24"/>
          <w:szCs w:val="24"/>
          <w:lang w:val="en-US"/>
        </w:rPr>
        <w:tab/>
      </w:r>
      <w:r w:rsidRPr="008D220A">
        <w:rPr>
          <w:rFonts w:ascii="Arial" w:hAnsi="Arial" w:cs="Arial"/>
          <w:sz w:val="24"/>
          <w:szCs w:val="24"/>
          <w:lang w:val="en-US"/>
        </w:rPr>
        <w:tab/>
        <w:t xml:space="preserve">Country Office </w:t>
      </w:r>
    </w:p>
    <w:p w14:paraId="3D239ED1" w14:textId="77777777" w:rsidR="00492513" w:rsidRPr="008D220A" w:rsidRDefault="00492513" w:rsidP="00EF4EB6">
      <w:pPr>
        <w:spacing w:line="360" w:lineRule="auto"/>
        <w:rPr>
          <w:rFonts w:ascii="Arial" w:hAnsi="Arial" w:cs="Arial"/>
          <w:sz w:val="24"/>
          <w:szCs w:val="24"/>
          <w:lang w:val="en-US"/>
        </w:rPr>
      </w:pPr>
      <w:r w:rsidRPr="008D220A">
        <w:rPr>
          <w:rFonts w:ascii="Arial" w:hAnsi="Arial" w:cs="Arial"/>
          <w:sz w:val="24"/>
          <w:szCs w:val="24"/>
          <w:lang w:val="en-US"/>
        </w:rPr>
        <w:t>EE</w:t>
      </w:r>
      <w:r w:rsidRPr="008D220A">
        <w:rPr>
          <w:rFonts w:ascii="Arial" w:hAnsi="Arial" w:cs="Arial"/>
          <w:sz w:val="24"/>
          <w:szCs w:val="24"/>
          <w:lang w:val="en-US"/>
        </w:rPr>
        <w:tab/>
      </w:r>
      <w:r w:rsidRPr="008D220A">
        <w:rPr>
          <w:rFonts w:ascii="Arial" w:hAnsi="Arial" w:cs="Arial"/>
          <w:sz w:val="24"/>
          <w:szCs w:val="24"/>
          <w:lang w:val="en-US"/>
        </w:rPr>
        <w:tab/>
        <w:t xml:space="preserve">Energy efficiency </w:t>
      </w:r>
    </w:p>
    <w:p w14:paraId="1A9080AF" w14:textId="77777777" w:rsidR="00D84D9B" w:rsidRPr="008D220A" w:rsidRDefault="00D84D9B" w:rsidP="00EF4EB6">
      <w:pPr>
        <w:spacing w:line="360" w:lineRule="auto"/>
        <w:rPr>
          <w:rFonts w:ascii="Arial" w:hAnsi="Arial" w:cs="Arial"/>
          <w:sz w:val="24"/>
          <w:szCs w:val="24"/>
          <w:lang w:val="en-US"/>
        </w:rPr>
      </w:pPr>
      <w:r w:rsidRPr="008D220A">
        <w:rPr>
          <w:rFonts w:ascii="Arial" w:hAnsi="Arial" w:cs="Arial"/>
          <w:sz w:val="24"/>
          <w:szCs w:val="24"/>
          <w:lang w:val="en-US"/>
        </w:rPr>
        <w:t>FSM</w:t>
      </w:r>
      <w:r w:rsidRPr="008D220A">
        <w:rPr>
          <w:rFonts w:ascii="Arial" w:hAnsi="Arial" w:cs="Arial"/>
          <w:sz w:val="24"/>
          <w:szCs w:val="24"/>
          <w:lang w:val="en-US"/>
        </w:rPr>
        <w:tab/>
      </w:r>
      <w:r w:rsidRPr="008D220A">
        <w:rPr>
          <w:rFonts w:ascii="Arial" w:hAnsi="Arial" w:cs="Arial"/>
          <w:sz w:val="24"/>
          <w:szCs w:val="24"/>
          <w:lang w:val="en-US"/>
        </w:rPr>
        <w:tab/>
        <w:t>Financial Support Mechanism</w:t>
      </w:r>
    </w:p>
    <w:p w14:paraId="34A57B5D" w14:textId="77777777" w:rsidR="0090099D" w:rsidRPr="008D220A" w:rsidRDefault="0018315A" w:rsidP="0090099D">
      <w:pPr>
        <w:spacing w:line="360" w:lineRule="auto"/>
        <w:rPr>
          <w:rFonts w:ascii="Arial" w:hAnsi="Arial" w:cs="Arial"/>
          <w:sz w:val="24"/>
          <w:szCs w:val="24"/>
          <w:lang w:val="en-US"/>
        </w:rPr>
      </w:pPr>
      <w:r w:rsidRPr="008D220A">
        <w:rPr>
          <w:rFonts w:ascii="Arial" w:hAnsi="Arial" w:cs="Arial"/>
          <w:sz w:val="24"/>
          <w:szCs w:val="24"/>
          <w:lang w:val="en-US"/>
        </w:rPr>
        <w:t>GCal/h</w:t>
      </w:r>
      <w:r w:rsidR="0090099D" w:rsidRPr="008D220A">
        <w:rPr>
          <w:rFonts w:ascii="Arial" w:hAnsi="Arial" w:cs="Arial"/>
          <w:sz w:val="24"/>
          <w:szCs w:val="24"/>
          <w:lang w:val="en-US"/>
        </w:rPr>
        <w:tab/>
      </w:r>
      <w:r w:rsidR="0090099D" w:rsidRPr="008D220A">
        <w:rPr>
          <w:rFonts w:ascii="Arial" w:hAnsi="Arial" w:cs="Arial"/>
          <w:sz w:val="24"/>
          <w:szCs w:val="24"/>
          <w:shd w:val="clear" w:color="auto" w:fill="FFFFFF"/>
          <w:lang w:val="en-US"/>
        </w:rPr>
        <w:t>gigacalories per hour</w:t>
      </w:r>
    </w:p>
    <w:p w14:paraId="4B7A64B1" w14:textId="77777777" w:rsidR="00492513" w:rsidRPr="008D220A" w:rsidRDefault="00492513" w:rsidP="00EF4EB6">
      <w:pPr>
        <w:spacing w:line="360" w:lineRule="auto"/>
        <w:rPr>
          <w:rFonts w:ascii="Arial" w:hAnsi="Arial" w:cs="Arial"/>
          <w:sz w:val="24"/>
          <w:szCs w:val="24"/>
          <w:lang w:val="en-US"/>
        </w:rPr>
      </w:pPr>
      <w:r w:rsidRPr="008D220A">
        <w:rPr>
          <w:rFonts w:ascii="Arial" w:hAnsi="Arial" w:cs="Arial"/>
          <w:sz w:val="24"/>
          <w:szCs w:val="24"/>
          <w:lang w:val="en-US"/>
        </w:rPr>
        <w:t>GEF</w:t>
      </w:r>
      <w:r w:rsidRPr="008D220A">
        <w:rPr>
          <w:rFonts w:ascii="Arial" w:hAnsi="Arial" w:cs="Arial"/>
          <w:sz w:val="24"/>
          <w:szCs w:val="24"/>
          <w:lang w:val="en-US"/>
        </w:rPr>
        <w:tab/>
      </w:r>
      <w:r w:rsidRPr="008D220A">
        <w:rPr>
          <w:rFonts w:ascii="Arial" w:hAnsi="Arial" w:cs="Arial"/>
          <w:sz w:val="24"/>
          <w:szCs w:val="24"/>
          <w:lang w:val="en-US"/>
        </w:rPr>
        <w:tab/>
        <w:t>Global Environment Facility</w:t>
      </w:r>
    </w:p>
    <w:p w14:paraId="45AE0550" w14:textId="400EAB33" w:rsidR="00240269" w:rsidRPr="008D220A" w:rsidRDefault="00240269" w:rsidP="00EF4EB6">
      <w:pPr>
        <w:spacing w:line="360" w:lineRule="auto"/>
        <w:rPr>
          <w:rFonts w:ascii="Arial" w:hAnsi="Arial" w:cs="Arial"/>
          <w:sz w:val="24"/>
          <w:szCs w:val="24"/>
          <w:lang w:val="en-US"/>
        </w:rPr>
      </w:pPr>
      <w:r w:rsidRPr="008D220A">
        <w:rPr>
          <w:rFonts w:ascii="Arial" w:hAnsi="Arial" w:cs="Arial"/>
          <w:sz w:val="24"/>
          <w:szCs w:val="24"/>
          <w:lang w:val="en-US"/>
        </w:rPr>
        <w:t>IFC</w:t>
      </w:r>
      <w:r w:rsidRPr="008D220A">
        <w:rPr>
          <w:rFonts w:ascii="Arial" w:hAnsi="Arial" w:cs="Arial"/>
          <w:sz w:val="24"/>
          <w:szCs w:val="24"/>
          <w:lang w:val="en-US"/>
        </w:rPr>
        <w:tab/>
      </w:r>
      <w:r w:rsidRPr="008D220A">
        <w:rPr>
          <w:rFonts w:ascii="Arial" w:hAnsi="Arial" w:cs="Arial"/>
          <w:sz w:val="24"/>
          <w:szCs w:val="24"/>
          <w:lang w:val="en-US"/>
        </w:rPr>
        <w:tab/>
        <w:t>International Finance Corporation</w:t>
      </w:r>
    </w:p>
    <w:p w14:paraId="3175C633" w14:textId="77777777" w:rsidR="00EF4EB6" w:rsidRPr="008D220A" w:rsidRDefault="00EF4EB6" w:rsidP="00EF4EB6">
      <w:pPr>
        <w:spacing w:line="360" w:lineRule="auto"/>
        <w:rPr>
          <w:rFonts w:ascii="Arial" w:hAnsi="Arial" w:cs="Arial"/>
          <w:sz w:val="24"/>
          <w:szCs w:val="24"/>
          <w:lang w:val="en-US"/>
        </w:rPr>
      </w:pPr>
      <w:r w:rsidRPr="008D220A">
        <w:rPr>
          <w:rFonts w:ascii="Arial" w:hAnsi="Arial" w:cs="Arial"/>
          <w:sz w:val="24"/>
          <w:szCs w:val="24"/>
          <w:lang w:val="en-US"/>
        </w:rPr>
        <w:t xml:space="preserve">NGO </w:t>
      </w:r>
      <w:r w:rsidRPr="008D220A">
        <w:rPr>
          <w:rFonts w:ascii="Arial" w:hAnsi="Arial" w:cs="Arial"/>
          <w:sz w:val="24"/>
          <w:szCs w:val="24"/>
          <w:lang w:val="en-US"/>
        </w:rPr>
        <w:tab/>
      </w:r>
      <w:r w:rsidRPr="008D220A">
        <w:rPr>
          <w:rFonts w:ascii="Arial" w:hAnsi="Arial" w:cs="Arial"/>
          <w:sz w:val="24"/>
          <w:szCs w:val="24"/>
          <w:lang w:val="en-US"/>
        </w:rPr>
        <w:tab/>
        <w:t>Non-Governmental Organization</w:t>
      </w:r>
    </w:p>
    <w:p w14:paraId="06B9612C" w14:textId="77777777" w:rsidR="00196CF0" w:rsidRPr="008D220A" w:rsidRDefault="00196CF0" w:rsidP="00EF4EB6">
      <w:pPr>
        <w:spacing w:line="360" w:lineRule="auto"/>
        <w:rPr>
          <w:rFonts w:ascii="Arial" w:hAnsi="Arial" w:cs="Arial"/>
          <w:sz w:val="24"/>
          <w:szCs w:val="24"/>
          <w:lang w:val="en-US"/>
        </w:rPr>
      </w:pPr>
      <w:r w:rsidRPr="008D220A">
        <w:rPr>
          <w:rFonts w:ascii="Arial" w:hAnsi="Arial" w:cs="Arial"/>
          <w:sz w:val="24"/>
          <w:szCs w:val="24"/>
          <w:lang w:val="en-US"/>
        </w:rPr>
        <w:t>Mtoe</w:t>
      </w:r>
      <w:r w:rsidRPr="008D220A">
        <w:rPr>
          <w:rFonts w:ascii="Arial" w:hAnsi="Arial" w:cs="Arial"/>
          <w:sz w:val="24"/>
          <w:szCs w:val="24"/>
          <w:lang w:val="en-US"/>
        </w:rPr>
        <w:tab/>
      </w:r>
      <w:r w:rsidRPr="008D220A">
        <w:rPr>
          <w:rFonts w:ascii="Arial" w:hAnsi="Arial" w:cs="Arial"/>
          <w:sz w:val="24"/>
          <w:szCs w:val="24"/>
          <w:lang w:val="en-US"/>
        </w:rPr>
        <w:tab/>
        <w:t>Million Tonnes of Oil Equivalent</w:t>
      </w:r>
    </w:p>
    <w:p w14:paraId="10D19C18" w14:textId="45C4464F" w:rsidR="007002E7" w:rsidRPr="008D220A" w:rsidRDefault="007002E7" w:rsidP="007002E7">
      <w:pPr>
        <w:spacing w:line="360" w:lineRule="auto"/>
        <w:rPr>
          <w:rFonts w:ascii="Arial" w:hAnsi="Arial" w:cs="Arial"/>
          <w:sz w:val="24"/>
          <w:szCs w:val="24"/>
          <w:lang w:val="en-US"/>
        </w:rPr>
      </w:pPr>
      <w:r w:rsidRPr="008D220A">
        <w:rPr>
          <w:rFonts w:ascii="Arial" w:hAnsi="Arial" w:cs="Arial"/>
          <w:sz w:val="24"/>
          <w:szCs w:val="24"/>
          <w:lang w:val="en-US"/>
        </w:rPr>
        <w:t xml:space="preserve">MTR </w:t>
      </w:r>
      <w:r w:rsidRPr="008D220A">
        <w:rPr>
          <w:rFonts w:ascii="Arial" w:hAnsi="Arial" w:cs="Arial"/>
          <w:sz w:val="24"/>
          <w:szCs w:val="24"/>
          <w:lang w:val="en-US"/>
        </w:rPr>
        <w:tab/>
      </w:r>
      <w:r w:rsidRPr="008D220A">
        <w:rPr>
          <w:rFonts w:ascii="Arial" w:hAnsi="Arial" w:cs="Arial"/>
          <w:sz w:val="24"/>
          <w:szCs w:val="24"/>
          <w:lang w:val="en-US"/>
        </w:rPr>
        <w:tab/>
        <w:t xml:space="preserve">Midterm Review </w:t>
      </w:r>
    </w:p>
    <w:p w14:paraId="3E3D2B08" w14:textId="77777777" w:rsidR="00EF4EB6" w:rsidRPr="008D220A" w:rsidRDefault="00EF4EB6" w:rsidP="00EF4EB6">
      <w:pPr>
        <w:spacing w:line="360" w:lineRule="auto"/>
        <w:rPr>
          <w:rFonts w:ascii="Arial" w:hAnsi="Arial" w:cs="Arial"/>
          <w:sz w:val="24"/>
          <w:szCs w:val="24"/>
          <w:lang w:val="en-US"/>
        </w:rPr>
      </w:pPr>
      <w:r w:rsidRPr="008D220A">
        <w:rPr>
          <w:rFonts w:ascii="Arial" w:hAnsi="Arial" w:cs="Arial"/>
          <w:sz w:val="24"/>
          <w:szCs w:val="24"/>
          <w:lang w:val="en-US"/>
        </w:rPr>
        <w:t xml:space="preserve">PIU </w:t>
      </w:r>
      <w:r w:rsidRPr="008D220A">
        <w:rPr>
          <w:rFonts w:ascii="Arial" w:hAnsi="Arial" w:cs="Arial"/>
          <w:sz w:val="24"/>
          <w:szCs w:val="24"/>
          <w:lang w:val="en-US"/>
        </w:rPr>
        <w:tab/>
      </w:r>
      <w:r w:rsidRPr="008D220A">
        <w:rPr>
          <w:rFonts w:ascii="Arial" w:hAnsi="Arial" w:cs="Arial"/>
          <w:sz w:val="24"/>
          <w:szCs w:val="24"/>
          <w:lang w:val="en-US"/>
        </w:rPr>
        <w:tab/>
        <w:t>Project Implementation Unit</w:t>
      </w:r>
    </w:p>
    <w:p w14:paraId="4BA89BB6" w14:textId="77777777" w:rsidR="00D8348D" w:rsidRPr="008D220A" w:rsidRDefault="00D8348D" w:rsidP="00EF4EB6">
      <w:pPr>
        <w:spacing w:line="360" w:lineRule="auto"/>
        <w:rPr>
          <w:rFonts w:ascii="Arial" w:hAnsi="Arial" w:cs="Arial"/>
          <w:sz w:val="24"/>
          <w:szCs w:val="24"/>
          <w:lang w:val="en-US"/>
        </w:rPr>
      </w:pPr>
      <w:r w:rsidRPr="008D220A">
        <w:rPr>
          <w:rFonts w:ascii="Arial" w:hAnsi="Arial" w:cs="Arial"/>
          <w:sz w:val="24"/>
          <w:szCs w:val="24"/>
          <w:lang w:val="en-US"/>
        </w:rPr>
        <w:t>RES</w:t>
      </w:r>
      <w:r w:rsidRPr="008D220A">
        <w:rPr>
          <w:rFonts w:ascii="Arial" w:hAnsi="Arial" w:cs="Arial"/>
          <w:sz w:val="24"/>
          <w:szCs w:val="24"/>
          <w:lang w:val="en-US"/>
        </w:rPr>
        <w:tab/>
      </w:r>
      <w:r w:rsidRPr="008D220A">
        <w:rPr>
          <w:rFonts w:ascii="Arial" w:hAnsi="Arial" w:cs="Arial"/>
          <w:sz w:val="24"/>
          <w:szCs w:val="24"/>
          <w:lang w:val="en-US"/>
        </w:rPr>
        <w:tab/>
        <w:t>Renewable energy sources</w:t>
      </w:r>
    </w:p>
    <w:p w14:paraId="1E6A6BBD" w14:textId="77777777" w:rsidR="00564B56" w:rsidRPr="008D220A" w:rsidRDefault="00564B56" w:rsidP="00EF4EB6">
      <w:pPr>
        <w:spacing w:line="360" w:lineRule="auto"/>
        <w:rPr>
          <w:rFonts w:ascii="Arial" w:hAnsi="Arial" w:cs="Arial"/>
          <w:sz w:val="24"/>
          <w:szCs w:val="24"/>
          <w:lang w:val="en-US"/>
        </w:rPr>
      </w:pPr>
      <w:r w:rsidRPr="008D220A">
        <w:rPr>
          <w:rFonts w:ascii="Arial" w:hAnsi="Arial" w:cs="Arial"/>
          <w:sz w:val="24"/>
          <w:szCs w:val="24"/>
          <w:lang w:val="en-US"/>
        </w:rPr>
        <w:t>SAEE</w:t>
      </w:r>
      <w:r w:rsidRPr="008D220A">
        <w:rPr>
          <w:rFonts w:ascii="Arial" w:hAnsi="Arial" w:cs="Arial"/>
          <w:sz w:val="24"/>
          <w:szCs w:val="24"/>
          <w:lang w:val="en-US"/>
        </w:rPr>
        <w:tab/>
      </w:r>
      <w:r w:rsidRPr="008D220A">
        <w:rPr>
          <w:rFonts w:ascii="Arial" w:hAnsi="Arial" w:cs="Arial"/>
          <w:sz w:val="24"/>
          <w:szCs w:val="24"/>
          <w:lang w:val="en-US"/>
        </w:rPr>
        <w:tab/>
        <w:t>State Agency for Energy Efficiency and Energy Savings of Ukraine</w:t>
      </w:r>
    </w:p>
    <w:p w14:paraId="73B3E43C" w14:textId="77777777" w:rsidR="00564B56" w:rsidRPr="008D220A" w:rsidRDefault="00564B56" w:rsidP="00EF4EB6">
      <w:pPr>
        <w:spacing w:line="360" w:lineRule="auto"/>
        <w:rPr>
          <w:rFonts w:ascii="Arial" w:hAnsi="Arial" w:cs="Arial"/>
          <w:sz w:val="24"/>
          <w:szCs w:val="24"/>
          <w:lang w:val="en-US"/>
        </w:rPr>
      </w:pPr>
      <w:r w:rsidRPr="008D220A">
        <w:rPr>
          <w:rFonts w:ascii="Arial" w:hAnsi="Arial" w:cs="Arial"/>
          <w:sz w:val="24"/>
          <w:szCs w:val="24"/>
          <w:lang w:val="en-US"/>
        </w:rPr>
        <w:t>toe</w:t>
      </w:r>
      <w:r w:rsidRPr="008D220A">
        <w:rPr>
          <w:rFonts w:ascii="Arial" w:hAnsi="Arial" w:cs="Arial"/>
          <w:sz w:val="24"/>
          <w:szCs w:val="24"/>
          <w:lang w:val="en-US"/>
        </w:rPr>
        <w:tab/>
      </w:r>
      <w:r w:rsidRPr="008D220A">
        <w:rPr>
          <w:rFonts w:ascii="Arial" w:hAnsi="Arial" w:cs="Arial"/>
          <w:sz w:val="24"/>
          <w:szCs w:val="24"/>
          <w:lang w:val="en-US"/>
        </w:rPr>
        <w:tab/>
        <w:t>tonne of oil equivalent</w:t>
      </w:r>
      <w:r w:rsidR="00D8348D" w:rsidRPr="008D220A">
        <w:rPr>
          <w:rFonts w:ascii="Arial" w:hAnsi="Arial" w:cs="Arial"/>
          <w:sz w:val="24"/>
          <w:szCs w:val="24"/>
          <w:lang w:val="en-US"/>
        </w:rPr>
        <w:tab/>
      </w:r>
    </w:p>
    <w:p w14:paraId="5747C2F0" w14:textId="77777777" w:rsidR="001D3C86" w:rsidRPr="008D220A" w:rsidRDefault="001D3C86" w:rsidP="00EF4EB6">
      <w:pPr>
        <w:spacing w:line="360" w:lineRule="auto"/>
        <w:rPr>
          <w:rFonts w:ascii="Arial" w:hAnsi="Arial" w:cs="Arial"/>
          <w:sz w:val="24"/>
          <w:szCs w:val="24"/>
          <w:lang w:val="en-US"/>
        </w:rPr>
      </w:pPr>
      <w:r w:rsidRPr="008D220A">
        <w:rPr>
          <w:rFonts w:ascii="Arial" w:hAnsi="Arial" w:cs="Arial"/>
          <w:sz w:val="24"/>
          <w:szCs w:val="24"/>
          <w:lang w:val="en-US"/>
        </w:rPr>
        <w:t>ToR</w:t>
      </w:r>
      <w:r w:rsidRPr="008D220A">
        <w:rPr>
          <w:rFonts w:ascii="Arial" w:hAnsi="Arial" w:cs="Arial"/>
          <w:sz w:val="24"/>
          <w:szCs w:val="24"/>
          <w:lang w:val="en-US"/>
        </w:rPr>
        <w:tab/>
      </w:r>
      <w:r w:rsidRPr="008D220A">
        <w:rPr>
          <w:rFonts w:ascii="Arial" w:hAnsi="Arial" w:cs="Arial"/>
          <w:sz w:val="24"/>
          <w:szCs w:val="24"/>
          <w:lang w:val="en-US"/>
        </w:rPr>
        <w:tab/>
        <w:t>Terms of Reference</w:t>
      </w:r>
    </w:p>
    <w:p w14:paraId="7BFF0A97" w14:textId="77777777" w:rsidR="00EF4EB6" w:rsidRPr="008D220A" w:rsidRDefault="00EF4EB6" w:rsidP="00EF4EB6">
      <w:pPr>
        <w:spacing w:line="360" w:lineRule="auto"/>
        <w:rPr>
          <w:rFonts w:ascii="Arial" w:hAnsi="Arial" w:cs="Arial"/>
          <w:sz w:val="24"/>
          <w:szCs w:val="24"/>
          <w:lang w:val="en-US"/>
        </w:rPr>
      </w:pPr>
      <w:r w:rsidRPr="008D220A">
        <w:rPr>
          <w:rFonts w:ascii="Arial" w:hAnsi="Arial" w:cs="Arial"/>
          <w:sz w:val="24"/>
          <w:szCs w:val="24"/>
          <w:lang w:val="en-US"/>
        </w:rPr>
        <w:t xml:space="preserve">UNDP </w:t>
      </w:r>
      <w:r w:rsidRPr="008D220A">
        <w:rPr>
          <w:rFonts w:ascii="Arial" w:hAnsi="Arial" w:cs="Arial"/>
          <w:sz w:val="24"/>
          <w:szCs w:val="24"/>
          <w:lang w:val="en-US"/>
        </w:rPr>
        <w:tab/>
        <w:t>United Nations Development Programme</w:t>
      </w:r>
    </w:p>
    <w:p w14:paraId="024630C8" w14:textId="77777777" w:rsidR="00EF4EB6" w:rsidRPr="008D220A" w:rsidRDefault="00EF4EB6" w:rsidP="00EF4EB6">
      <w:pPr>
        <w:spacing w:line="360" w:lineRule="auto"/>
        <w:rPr>
          <w:rFonts w:ascii="Arial" w:hAnsi="Arial" w:cs="Arial"/>
          <w:sz w:val="24"/>
          <w:szCs w:val="24"/>
          <w:lang w:val="en-US"/>
        </w:rPr>
      </w:pPr>
      <w:r w:rsidRPr="008D220A">
        <w:rPr>
          <w:rFonts w:ascii="Arial" w:hAnsi="Arial" w:cs="Arial"/>
          <w:sz w:val="24"/>
          <w:szCs w:val="24"/>
          <w:lang w:val="en-US"/>
        </w:rPr>
        <w:t xml:space="preserve">USD </w:t>
      </w:r>
      <w:r w:rsidRPr="008D220A">
        <w:rPr>
          <w:rFonts w:ascii="Arial" w:hAnsi="Arial" w:cs="Arial"/>
          <w:sz w:val="24"/>
          <w:szCs w:val="24"/>
          <w:lang w:val="en-US"/>
        </w:rPr>
        <w:tab/>
      </w:r>
      <w:r w:rsidRPr="008D220A">
        <w:rPr>
          <w:rFonts w:ascii="Arial" w:hAnsi="Arial" w:cs="Arial"/>
          <w:sz w:val="24"/>
          <w:szCs w:val="24"/>
          <w:lang w:val="en-US"/>
        </w:rPr>
        <w:tab/>
        <w:t>United States Dollars</w:t>
      </w:r>
    </w:p>
    <w:p w14:paraId="59CA07C0" w14:textId="77777777" w:rsidR="00464003" w:rsidRPr="008D220A" w:rsidRDefault="00464003" w:rsidP="00B31A68">
      <w:pPr>
        <w:rPr>
          <w:rFonts w:ascii="Arial" w:hAnsi="Arial" w:cs="Arial"/>
          <w:b/>
          <w:sz w:val="24"/>
          <w:szCs w:val="24"/>
          <w:lang w:val="en-US"/>
        </w:rPr>
      </w:pPr>
    </w:p>
    <w:p w14:paraId="36983934" w14:textId="77777777" w:rsidR="00EF4EB6" w:rsidRPr="008D220A" w:rsidRDefault="00EF4EB6" w:rsidP="00B31A68">
      <w:pPr>
        <w:rPr>
          <w:rFonts w:ascii="Myriad Pro" w:hAnsi="Myriad Pro" w:cs="Arial"/>
          <w:b/>
          <w:sz w:val="22"/>
          <w:szCs w:val="22"/>
          <w:lang w:val="en-US"/>
        </w:rPr>
      </w:pPr>
    </w:p>
    <w:p w14:paraId="08D75251" w14:textId="77777777" w:rsidR="00EF4EB6" w:rsidRPr="008D220A" w:rsidRDefault="00EF4EB6" w:rsidP="00B31A68">
      <w:pPr>
        <w:rPr>
          <w:rFonts w:ascii="Myriad Pro" w:hAnsi="Myriad Pro" w:cs="Arial"/>
          <w:b/>
          <w:sz w:val="22"/>
          <w:szCs w:val="22"/>
          <w:lang w:val="en-US"/>
        </w:rPr>
      </w:pPr>
    </w:p>
    <w:p w14:paraId="477D9969" w14:textId="77777777" w:rsidR="00EF4EB6" w:rsidRPr="008D220A" w:rsidRDefault="00EF4EB6" w:rsidP="00B31A68">
      <w:pPr>
        <w:rPr>
          <w:rFonts w:ascii="Myriad Pro" w:hAnsi="Myriad Pro" w:cs="Arial"/>
          <w:b/>
          <w:sz w:val="22"/>
          <w:szCs w:val="22"/>
          <w:lang w:val="en-US"/>
        </w:rPr>
      </w:pPr>
    </w:p>
    <w:p w14:paraId="38731C86" w14:textId="77777777" w:rsidR="00EF4EB6" w:rsidRPr="008D220A" w:rsidRDefault="00EF4EB6" w:rsidP="00B31A68">
      <w:pPr>
        <w:rPr>
          <w:rFonts w:ascii="Myriad Pro" w:hAnsi="Myriad Pro" w:cs="Arial"/>
          <w:b/>
          <w:sz w:val="22"/>
          <w:szCs w:val="22"/>
          <w:lang w:val="en-US"/>
        </w:rPr>
      </w:pPr>
    </w:p>
    <w:p w14:paraId="331A102E" w14:textId="77777777" w:rsidR="00EF4EB6" w:rsidRPr="008D220A" w:rsidRDefault="00EF4EB6" w:rsidP="00B31A68">
      <w:pPr>
        <w:rPr>
          <w:rFonts w:ascii="Myriad Pro" w:hAnsi="Myriad Pro" w:cs="Arial"/>
          <w:b/>
          <w:sz w:val="22"/>
          <w:szCs w:val="22"/>
          <w:lang w:val="en-US"/>
        </w:rPr>
      </w:pPr>
    </w:p>
    <w:p w14:paraId="09EB83D7" w14:textId="77777777" w:rsidR="00EF4EB6" w:rsidRPr="008D220A" w:rsidRDefault="00EF4EB6" w:rsidP="00B31A68">
      <w:pPr>
        <w:rPr>
          <w:rFonts w:ascii="Myriad Pro" w:hAnsi="Myriad Pro" w:cs="Arial"/>
          <w:b/>
          <w:sz w:val="22"/>
          <w:szCs w:val="22"/>
          <w:lang w:val="en-US"/>
        </w:rPr>
      </w:pPr>
    </w:p>
    <w:p w14:paraId="2B2D7B64" w14:textId="77777777" w:rsidR="00EF4EB6" w:rsidRPr="008D220A" w:rsidRDefault="00EF4EB6" w:rsidP="00B31A68">
      <w:pPr>
        <w:rPr>
          <w:rFonts w:ascii="Myriad Pro" w:hAnsi="Myriad Pro" w:cs="Arial"/>
          <w:b/>
          <w:sz w:val="22"/>
          <w:szCs w:val="22"/>
          <w:lang w:val="en-US"/>
        </w:rPr>
      </w:pPr>
    </w:p>
    <w:p w14:paraId="0AE36C38" w14:textId="77777777" w:rsidR="00EF4EB6" w:rsidRPr="008D220A" w:rsidRDefault="00EF4EB6" w:rsidP="00B31A68">
      <w:pPr>
        <w:rPr>
          <w:rFonts w:ascii="Myriad Pro" w:hAnsi="Myriad Pro" w:cs="Arial"/>
          <w:b/>
          <w:sz w:val="22"/>
          <w:szCs w:val="22"/>
          <w:lang w:val="en-US"/>
        </w:rPr>
      </w:pPr>
    </w:p>
    <w:p w14:paraId="51BB5F5C" w14:textId="77777777" w:rsidR="00EF4EB6" w:rsidRPr="008D220A" w:rsidRDefault="00EF4EB6" w:rsidP="00B31A68">
      <w:pPr>
        <w:rPr>
          <w:rFonts w:ascii="Myriad Pro" w:hAnsi="Myriad Pro" w:cs="Arial"/>
          <w:b/>
          <w:sz w:val="22"/>
          <w:szCs w:val="22"/>
          <w:lang w:val="en-US"/>
        </w:rPr>
      </w:pPr>
    </w:p>
    <w:p w14:paraId="1C461D0C" w14:textId="77777777" w:rsidR="00EF4EB6" w:rsidRPr="008D220A" w:rsidRDefault="00EF4EB6" w:rsidP="00B31A68">
      <w:pPr>
        <w:rPr>
          <w:rFonts w:ascii="Myriad Pro" w:hAnsi="Myriad Pro" w:cs="Arial"/>
          <w:b/>
          <w:sz w:val="22"/>
          <w:szCs w:val="22"/>
          <w:lang w:val="en-US"/>
        </w:rPr>
      </w:pPr>
    </w:p>
    <w:p w14:paraId="48D519EB" w14:textId="77777777" w:rsidR="00EF4EB6" w:rsidRPr="008D220A" w:rsidRDefault="00EF4EB6" w:rsidP="00B31A68">
      <w:pPr>
        <w:rPr>
          <w:rFonts w:ascii="Myriad Pro" w:hAnsi="Myriad Pro" w:cs="Arial"/>
          <w:b/>
          <w:sz w:val="22"/>
          <w:szCs w:val="22"/>
          <w:lang w:val="en-US"/>
        </w:rPr>
      </w:pPr>
    </w:p>
    <w:p w14:paraId="32502DEE" w14:textId="77777777" w:rsidR="00EF4EB6" w:rsidRPr="008D220A" w:rsidRDefault="00EF4EB6" w:rsidP="00B31A68">
      <w:pPr>
        <w:rPr>
          <w:rFonts w:ascii="Myriad Pro" w:hAnsi="Myriad Pro" w:cs="Arial"/>
          <w:b/>
          <w:sz w:val="22"/>
          <w:szCs w:val="22"/>
          <w:lang w:val="en-US"/>
        </w:rPr>
      </w:pPr>
    </w:p>
    <w:p w14:paraId="48FEC9F8" w14:textId="77777777" w:rsidR="00EF4EB6" w:rsidRPr="008D220A" w:rsidRDefault="00EF4EB6" w:rsidP="00B31A68">
      <w:pPr>
        <w:rPr>
          <w:rFonts w:ascii="Myriad Pro" w:hAnsi="Myriad Pro" w:cs="Arial"/>
          <w:b/>
          <w:sz w:val="22"/>
          <w:szCs w:val="22"/>
          <w:lang w:val="en-US"/>
        </w:rPr>
      </w:pPr>
    </w:p>
    <w:p w14:paraId="71970602" w14:textId="77777777" w:rsidR="00EF4EB6" w:rsidRPr="008D220A" w:rsidRDefault="00EF4EB6" w:rsidP="00B31A68">
      <w:pPr>
        <w:rPr>
          <w:rFonts w:ascii="Myriad Pro" w:hAnsi="Myriad Pro" w:cs="Arial"/>
          <w:b/>
          <w:sz w:val="22"/>
          <w:szCs w:val="22"/>
          <w:lang w:val="en-US"/>
        </w:rPr>
      </w:pPr>
    </w:p>
    <w:p w14:paraId="49CE6F8A" w14:textId="77777777" w:rsidR="00EF4EB6" w:rsidRPr="008D220A" w:rsidRDefault="00EF4EB6" w:rsidP="00B31A68">
      <w:pPr>
        <w:rPr>
          <w:rFonts w:ascii="Myriad Pro" w:hAnsi="Myriad Pro" w:cs="Arial"/>
          <w:b/>
          <w:sz w:val="22"/>
          <w:szCs w:val="22"/>
          <w:lang w:val="en-US"/>
        </w:rPr>
      </w:pPr>
    </w:p>
    <w:p w14:paraId="0F99E1DE" w14:textId="77777777" w:rsidR="00EF4EB6" w:rsidRPr="008D220A" w:rsidRDefault="00EF4EB6" w:rsidP="00B31A68">
      <w:pPr>
        <w:rPr>
          <w:rFonts w:ascii="Myriad Pro" w:hAnsi="Myriad Pro" w:cs="Arial"/>
          <w:b/>
          <w:sz w:val="22"/>
          <w:szCs w:val="22"/>
          <w:lang w:val="en-US"/>
        </w:rPr>
      </w:pPr>
    </w:p>
    <w:p w14:paraId="642E01D4" w14:textId="77777777" w:rsidR="00251D33" w:rsidRPr="008D220A" w:rsidRDefault="00251D33" w:rsidP="00B31A68">
      <w:pPr>
        <w:rPr>
          <w:rFonts w:ascii="Myriad Pro" w:hAnsi="Myriad Pro" w:cs="Arial"/>
          <w:b/>
          <w:sz w:val="22"/>
          <w:szCs w:val="22"/>
          <w:lang w:val="en-US"/>
        </w:rPr>
      </w:pPr>
    </w:p>
    <w:p w14:paraId="54091AF3" w14:textId="77777777" w:rsidR="00251D33" w:rsidRPr="008D220A" w:rsidRDefault="00251D33" w:rsidP="00B31A68">
      <w:pPr>
        <w:rPr>
          <w:rFonts w:ascii="Myriad Pro" w:hAnsi="Myriad Pro" w:cs="Arial"/>
          <w:b/>
          <w:sz w:val="22"/>
          <w:szCs w:val="22"/>
          <w:lang w:val="en-US"/>
        </w:rPr>
      </w:pPr>
    </w:p>
    <w:p w14:paraId="7C5BBC8F" w14:textId="77777777" w:rsidR="00251D33" w:rsidRPr="008D220A" w:rsidRDefault="00251D33" w:rsidP="00B31A68">
      <w:pPr>
        <w:rPr>
          <w:rFonts w:ascii="Myriad Pro" w:hAnsi="Myriad Pro" w:cs="Arial"/>
          <w:b/>
          <w:sz w:val="22"/>
          <w:szCs w:val="22"/>
          <w:lang w:val="en-US"/>
        </w:rPr>
      </w:pPr>
    </w:p>
    <w:p w14:paraId="665DA372" w14:textId="77777777" w:rsidR="00251D33" w:rsidRPr="008D220A" w:rsidRDefault="00251D33" w:rsidP="00B31A68">
      <w:pPr>
        <w:rPr>
          <w:rFonts w:ascii="Myriad Pro" w:hAnsi="Myriad Pro" w:cs="Arial"/>
          <w:b/>
          <w:sz w:val="22"/>
          <w:szCs w:val="22"/>
          <w:lang w:val="en-US"/>
        </w:rPr>
      </w:pPr>
    </w:p>
    <w:p w14:paraId="1D7AC83C" w14:textId="77777777" w:rsidR="00EF4EB6" w:rsidRPr="008D220A" w:rsidRDefault="00EF4EB6" w:rsidP="00B31A68">
      <w:pPr>
        <w:rPr>
          <w:rFonts w:ascii="Myriad Pro" w:hAnsi="Myriad Pro" w:cs="Arial"/>
          <w:b/>
          <w:sz w:val="22"/>
          <w:szCs w:val="22"/>
          <w:lang w:val="en-US"/>
        </w:rPr>
      </w:pPr>
    </w:p>
    <w:p w14:paraId="0A605D53" w14:textId="77777777" w:rsidR="00EF4EB6" w:rsidRPr="008D220A" w:rsidRDefault="00EF4EB6" w:rsidP="00B31A68">
      <w:pPr>
        <w:rPr>
          <w:rFonts w:ascii="Myriad Pro" w:hAnsi="Myriad Pro" w:cs="Arial"/>
          <w:b/>
          <w:sz w:val="22"/>
          <w:szCs w:val="22"/>
          <w:lang w:val="en-US"/>
        </w:rPr>
      </w:pPr>
    </w:p>
    <w:p w14:paraId="2DE8DD1F" w14:textId="77777777" w:rsidR="00EF4EB6" w:rsidRPr="008D220A" w:rsidRDefault="00EF4EB6" w:rsidP="00B31A68">
      <w:pPr>
        <w:rPr>
          <w:rFonts w:ascii="Myriad Pro" w:hAnsi="Myriad Pro" w:cs="Arial"/>
          <w:b/>
          <w:sz w:val="22"/>
          <w:szCs w:val="22"/>
          <w:lang w:val="en-US"/>
        </w:rPr>
      </w:pPr>
    </w:p>
    <w:p w14:paraId="5977A8EE" w14:textId="77777777" w:rsidR="00910354" w:rsidRPr="008D220A" w:rsidRDefault="00910354" w:rsidP="00947A07">
      <w:pPr>
        <w:pStyle w:val="1"/>
        <w:numPr>
          <w:ilvl w:val="0"/>
          <w:numId w:val="2"/>
        </w:numPr>
        <w:spacing w:before="0" w:after="0"/>
        <w:ind w:left="284" w:hanging="284"/>
        <w:rPr>
          <w:sz w:val="28"/>
          <w:szCs w:val="28"/>
          <w:lang w:val="en-US"/>
        </w:rPr>
      </w:pPr>
      <w:bookmarkStart w:id="12" w:name="_Toc376123021"/>
      <w:bookmarkStart w:id="13" w:name="_Toc154300536"/>
      <w:r w:rsidRPr="008D220A">
        <w:rPr>
          <w:sz w:val="28"/>
          <w:szCs w:val="28"/>
          <w:lang w:val="en-US"/>
        </w:rPr>
        <w:t>Executive summary</w:t>
      </w:r>
      <w:bookmarkEnd w:id="12"/>
      <w:r w:rsidRPr="008D220A">
        <w:rPr>
          <w:sz w:val="28"/>
          <w:szCs w:val="28"/>
          <w:lang w:val="en-US"/>
        </w:rPr>
        <w:t xml:space="preserve"> </w:t>
      </w:r>
    </w:p>
    <w:p w14:paraId="639A34EB" w14:textId="77777777" w:rsidR="00F63C0A" w:rsidRPr="008D220A" w:rsidRDefault="00F63C0A" w:rsidP="00947A07">
      <w:pPr>
        <w:rPr>
          <w:rFonts w:ascii="Arial" w:hAnsi="Arial" w:cs="Arial"/>
          <w:b/>
          <w:sz w:val="24"/>
          <w:szCs w:val="24"/>
          <w:lang w:val="en-US"/>
        </w:rPr>
      </w:pPr>
    </w:p>
    <w:p w14:paraId="5E9894EA" w14:textId="51D46D00" w:rsidR="00292A05" w:rsidRPr="008D220A" w:rsidRDefault="00F63C0A" w:rsidP="00947A07">
      <w:pPr>
        <w:rPr>
          <w:rFonts w:ascii="Arial" w:hAnsi="Arial" w:cs="Arial"/>
          <w:b/>
          <w:sz w:val="24"/>
          <w:szCs w:val="24"/>
          <w:lang w:val="en-US"/>
        </w:rPr>
      </w:pPr>
      <w:r w:rsidRPr="008D220A">
        <w:rPr>
          <w:rFonts w:ascii="Arial" w:hAnsi="Arial" w:cs="Arial"/>
          <w:b/>
          <w:sz w:val="24"/>
          <w:szCs w:val="24"/>
          <w:lang w:val="en-US"/>
        </w:rPr>
        <w:lastRenderedPageBreak/>
        <w:t>Country context</w:t>
      </w:r>
    </w:p>
    <w:p w14:paraId="2DECF80F" w14:textId="77777777" w:rsidR="00F63C0A" w:rsidRPr="008D220A" w:rsidRDefault="00F63C0A" w:rsidP="00AD4554">
      <w:pPr>
        <w:jc w:val="both"/>
        <w:rPr>
          <w:rFonts w:ascii="Arial" w:hAnsi="Arial" w:cs="Arial"/>
          <w:sz w:val="24"/>
          <w:szCs w:val="24"/>
          <w:shd w:val="clear" w:color="auto" w:fill="FFFFFF"/>
        </w:rPr>
      </w:pPr>
    </w:p>
    <w:p w14:paraId="00D1B895" w14:textId="77777777" w:rsidR="00AD4554" w:rsidRPr="008D220A" w:rsidRDefault="00AD4554" w:rsidP="00AD4554">
      <w:pPr>
        <w:jc w:val="both"/>
        <w:rPr>
          <w:rFonts w:ascii="Arial" w:hAnsi="Arial" w:cs="Arial"/>
          <w:sz w:val="24"/>
          <w:szCs w:val="24"/>
          <w:shd w:val="clear" w:color="auto" w:fill="FFFFFF"/>
        </w:rPr>
      </w:pPr>
      <w:r w:rsidRPr="008D220A">
        <w:rPr>
          <w:rFonts w:ascii="Arial" w:hAnsi="Arial" w:cs="Arial"/>
          <w:sz w:val="24"/>
          <w:szCs w:val="24"/>
          <w:shd w:val="clear" w:color="auto" w:fill="FFFFFF"/>
        </w:rPr>
        <w:t xml:space="preserve">After adoption of the </w:t>
      </w:r>
      <w:r w:rsidRPr="008D220A">
        <w:rPr>
          <w:rFonts w:ascii="Arial" w:hAnsi="Arial" w:cs="Arial"/>
          <w:sz w:val="24"/>
          <w:szCs w:val="24"/>
          <w:lang w:val="en-US"/>
        </w:rPr>
        <w:t xml:space="preserve">National Renewable Energy Action Plan until 2020 in 2014, </w:t>
      </w:r>
      <w:r w:rsidRPr="008D220A">
        <w:rPr>
          <w:rFonts w:ascii="Arial" w:hAnsi="Arial" w:cs="Arial"/>
          <w:sz w:val="24"/>
          <w:szCs w:val="24"/>
          <w:shd w:val="clear" w:color="auto" w:fill="FFFFFF"/>
        </w:rPr>
        <w:t xml:space="preserve">biomass is being considered a primary </w:t>
      </w:r>
      <w:r w:rsidRPr="008D220A">
        <w:rPr>
          <w:rFonts w:ascii="Arial" w:hAnsi="Arial" w:cs="Arial"/>
          <w:sz w:val="24"/>
          <w:szCs w:val="24"/>
          <w:shd w:val="clear" w:color="auto" w:fill="FFFFFF"/>
          <w:lang w:val="en-US"/>
        </w:rPr>
        <w:t xml:space="preserve">renewable </w:t>
      </w:r>
      <w:r w:rsidRPr="008D220A">
        <w:rPr>
          <w:rFonts w:ascii="Arial" w:hAnsi="Arial" w:cs="Arial"/>
          <w:sz w:val="24"/>
          <w:szCs w:val="24"/>
          <w:shd w:val="clear" w:color="auto" w:fill="FFFFFF"/>
        </w:rPr>
        <w:t xml:space="preserve">fuel for replacing expensive imported natural gas in the district heating. Bioenergy is expected to contribute to over 4/5 of the total renewable energy consumption in the heating sector replacing some 7,2 billion m3 of natural gas annually by 2020. </w:t>
      </w:r>
    </w:p>
    <w:p w14:paraId="7107E3D6" w14:textId="77777777" w:rsidR="00AD4554" w:rsidRPr="008D220A" w:rsidRDefault="00AD4554" w:rsidP="00AD4554">
      <w:pPr>
        <w:jc w:val="both"/>
        <w:rPr>
          <w:rFonts w:ascii="Arial" w:hAnsi="Arial" w:cs="Arial"/>
          <w:sz w:val="24"/>
          <w:szCs w:val="24"/>
          <w:shd w:val="clear" w:color="auto" w:fill="FFFFFF"/>
        </w:rPr>
      </w:pPr>
    </w:p>
    <w:p w14:paraId="19FA431F" w14:textId="77777777" w:rsidR="003B4414" w:rsidRPr="008D220A" w:rsidRDefault="00AD4554" w:rsidP="00240269">
      <w:pPr>
        <w:jc w:val="both"/>
        <w:rPr>
          <w:rFonts w:ascii="Arial" w:hAnsi="Arial" w:cs="Arial"/>
          <w:sz w:val="24"/>
          <w:szCs w:val="24"/>
        </w:rPr>
      </w:pPr>
      <w:r w:rsidRPr="008D220A">
        <w:rPr>
          <w:rFonts w:ascii="Arial" w:hAnsi="Arial" w:cs="Arial"/>
          <w:sz w:val="24"/>
          <w:szCs w:val="24"/>
          <w:shd w:val="clear" w:color="auto" w:fill="FFFFFF"/>
        </w:rPr>
        <w:t>Bioenergy as a whole now replaces about</w:t>
      </w:r>
      <w:r w:rsidRPr="008D220A">
        <w:rPr>
          <w:rFonts w:ascii="Arial" w:hAnsi="Arial" w:cs="Arial"/>
          <w:sz w:val="24"/>
          <w:szCs w:val="24"/>
        </w:rPr>
        <w:t xml:space="preserve"> 2,6 billion m3/year of natural ga</w:t>
      </w:r>
      <w:r w:rsidR="003B4414" w:rsidRPr="008D220A">
        <w:rPr>
          <w:rFonts w:ascii="Arial" w:hAnsi="Arial" w:cs="Arial"/>
          <w:sz w:val="24"/>
          <w:szCs w:val="24"/>
        </w:rPr>
        <w:t xml:space="preserve">s </w:t>
      </w:r>
      <w:r w:rsidRPr="008D220A">
        <w:rPr>
          <w:rFonts w:ascii="Arial" w:hAnsi="Arial" w:cs="Arial"/>
          <w:sz w:val="24"/>
          <w:szCs w:val="24"/>
        </w:rPr>
        <w:t xml:space="preserve">that is only about 10% of the total available biomass resource potential in Ukraine. However, with the improved biomass regulation framework in 2017, it can be expected that bioenergy targets may be met as expected. </w:t>
      </w:r>
    </w:p>
    <w:p w14:paraId="2BEB7B45" w14:textId="77777777" w:rsidR="003B4414" w:rsidRPr="008D220A" w:rsidRDefault="003B4414" w:rsidP="00240269">
      <w:pPr>
        <w:jc w:val="both"/>
        <w:rPr>
          <w:rFonts w:ascii="Arial" w:hAnsi="Arial" w:cs="Arial"/>
          <w:sz w:val="24"/>
          <w:szCs w:val="24"/>
        </w:rPr>
      </w:pPr>
    </w:p>
    <w:p w14:paraId="3BCB0125" w14:textId="5D66857F" w:rsidR="003B4414" w:rsidRPr="008D220A" w:rsidRDefault="003B4414" w:rsidP="00240269">
      <w:pPr>
        <w:jc w:val="both"/>
        <w:rPr>
          <w:rFonts w:ascii="Arial" w:hAnsi="Arial" w:cs="Arial"/>
          <w:sz w:val="24"/>
          <w:szCs w:val="24"/>
        </w:rPr>
      </w:pPr>
      <w:r w:rsidRPr="008D220A">
        <w:rPr>
          <w:rFonts w:ascii="Arial" w:hAnsi="Arial" w:cs="Arial"/>
          <w:sz w:val="24"/>
          <w:szCs w:val="24"/>
        </w:rPr>
        <w:t>In 2017 a number of laws were adopted having reinforced the legislative/regulatory framework for renewable energy implementation, including biomass, as well as encouraging replacement for natural gas with other energy sources.</w:t>
      </w:r>
    </w:p>
    <w:p w14:paraId="411C3393" w14:textId="77777777" w:rsidR="00F63C0A" w:rsidRPr="008D220A" w:rsidRDefault="00F63C0A" w:rsidP="00240269">
      <w:pPr>
        <w:jc w:val="both"/>
        <w:rPr>
          <w:rFonts w:ascii="Arial" w:hAnsi="Arial" w:cs="Arial"/>
          <w:sz w:val="24"/>
          <w:szCs w:val="24"/>
        </w:rPr>
      </w:pPr>
    </w:p>
    <w:p w14:paraId="73F6F87B" w14:textId="4C84F8C9" w:rsidR="00F63C0A" w:rsidRPr="008D220A" w:rsidRDefault="00F63C0A" w:rsidP="00F63C0A">
      <w:pPr>
        <w:pStyle w:val="rvps2"/>
        <w:spacing w:before="0" w:beforeAutospacing="0"/>
        <w:jc w:val="both"/>
        <w:rPr>
          <w:rFonts w:ascii="Arial" w:hAnsi="Arial" w:cs="Arial"/>
          <w:sz w:val="20"/>
          <w:szCs w:val="20"/>
        </w:rPr>
      </w:pPr>
      <w:r w:rsidRPr="008D220A">
        <w:rPr>
          <w:rFonts w:ascii="Arial" w:hAnsi="Arial" w:cs="Arial"/>
          <w:b/>
        </w:rPr>
        <w:t>The project context</w:t>
      </w:r>
    </w:p>
    <w:p w14:paraId="77C266F5" w14:textId="01EE2EA5" w:rsidR="00770437" w:rsidRPr="008D220A" w:rsidRDefault="00251D33" w:rsidP="00770437">
      <w:pPr>
        <w:pStyle w:val="rvps2"/>
        <w:spacing w:before="0" w:beforeAutospacing="0" w:after="0" w:afterAutospacing="0"/>
        <w:jc w:val="both"/>
        <w:rPr>
          <w:rFonts w:ascii="Arial" w:hAnsi="Arial" w:cs="Arial"/>
        </w:rPr>
      </w:pPr>
      <w:r w:rsidRPr="008D220A">
        <w:rPr>
          <w:rFonts w:ascii="Arial" w:hAnsi="Arial" w:cs="Arial"/>
        </w:rPr>
        <w:t>Overall in 2017 the Project has made a good progress towards achieving its development objective of wide utilization of bioenergy for municipal heat and hot water supply purposes.</w:t>
      </w:r>
      <w:r w:rsidR="00FA1528" w:rsidRPr="008D220A">
        <w:rPr>
          <w:rFonts w:ascii="Arial" w:hAnsi="Arial" w:cs="Arial"/>
        </w:rPr>
        <w:t xml:space="preserve"> </w:t>
      </w:r>
      <w:r w:rsidR="00A264BA" w:rsidRPr="008D220A">
        <w:rPr>
          <w:rFonts w:ascii="Arial" w:hAnsi="Arial" w:cs="Arial"/>
        </w:rPr>
        <w:t>The Project primarily supports utilization of cereals straw and other agricultural residues for municipal heating purposes, which is now used for about 2,5% of its total available resource potential.</w:t>
      </w:r>
    </w:p>
    <w:p w14:paraId="29802EF5" w14:textId="77777777" w:rsidR="00770437" w:rsidRPr="008D220A" w:rsidRDefault="00770437" w:rsidP="00770437">
      <w:pPr>
        <w:pStyle w:val="rvps2"/>
        <w:spacing w:before="0" w:beforeAutospacing="0" w:after="0" w:afterAutospacing="0"/>
        <w:jc w:val="both"/>
        <w:rPr>
          <w:rFonts w:ascii="Arial" w:hAnsi="Arial" w:cs="Arial"/>
        </w:rPr>
      </w:pPr>
    </w:p>
    <w:p w14:paraId="29DAAC60" w14:textId="35963DA1" w:rsidR="00FA1528" w:rsidRPr="008D220A" w:rsidRDefault="00FA1528" w:rsidP="008131EA">
      <w:pPr>
        <w:pStyle w:val="rvps2"/>
        <w:spacing w:before="0" w:beforeAutospacing="0"/>
        <w:jc w:val="both"/>
        <w:rPr>
          <w:rFonts w:ascii="Arial" w:hAnsi="Arial" w:cs="Arial"/>
        </w:rPr>
      </w:pPr>
      <w:r w:rsidRPr="008D220A">
        <w:rPr>
          <w:rFonts w:ascii="Arial" w:hAnsi="Arial" w:cs="Arial"/>
        </w:rPr>
        <w:t>In summary</w:t>
      </w:r>
      <w:r w:rsidR="00770437" w:rsidRPr="008D220A">
        <w:rPr>
          <w:rFonts w:ascii="Arial" w:hAnsi="Arial" w:cs="Arial"/>
        </w:rPr>
        <w:t xml:space="preserve"> during 2017</w:t>
      </w:r>
      <w:r w:rsidRPr="008D220A">
        <w:rPr>
          <w:rFonts w:ascii="Arial" w:hAnsi="Arial" w:cs="Arial"/>
        </w:rPr>
        <w:t>:</w:t>
      </w:r>
    </w:p>
    <w:p w14:paraId="580CCCC8" w14:textId="77777777" w:rsidR="00FA1528" w:rsidRPr="008D220A" w:rsidRDefault="00251D33" w:rsidP="008131EA">
      <w:pPr>
        <w:pStyle w:val="rvps2"/>
        <w:numPr>
          <w:ilvl w:val="0"/>
          <w:numId w:val="31"/>
        </w:numPr>
        <w:spacing w:before="0" w:beforeAutospacing="0"/>
        <w:ind w:left="284" w:hanging="284"/>
        <w:jc w:val="both"/>
        <w:rPr>
          <w:rFonts w:ascii="Arial" w:hAnsi="Arial" w:cs="Arial"/>
        </w:rPr>
      </w:pPr>
      <w:r w:rsidRPr="008D220A">
        <w:rPr>
          <w:rFonts w:ascii="Arial" w:hAnsi="Arial" w:cs="Arial"/>
        </w:rPr>
        <w:t xml:space="preserve">Five pieces of legislation based on the Project recommendations were adopted by the Parliament. </w:t>
      </w:r>
    </w:p>
    <w:p w14:paraId="1DF26AC4" w14:textId="77777777" w:rsidR="00FA1528" w:rsidRPr="008D220A" w:rsidRDefault="00FA1528" w:rsidP="008131EA">
      <w:pPr>
        <w:pStyle w:val="rvps2"/>
        <w:numPr>
          <w:ilvl w:val="0"/>
          <w:numId w:val="31"/>
        </w:numPr>
        <w:spacing w:before="0" w:beforeAutospacing="0"/>
        <w:ind w:left="284" w:hanging="284"/>
        <w:jc w:val="both"/>
        <w:rPr>
          <w:rFonts w:ascii="Arial" w:hAnsi="Arial" w:cs="Arial"/>
        </w:rPr>
      </w:pPr>
      <w:r w:rsidRPr="008D220A">
        <w:rPr>
          <w:rFonts w:ascii="Arial" w:hAnsi="Arial" w:cs="Arial"/>
        </w:rPr>
        <w:t xml:space="preserve">The Interagency Bioenergy Working Group has been established and “operationalized” under the Ministry of Ecology and Natural Resources of Ukraine. </w:t>
      </w:r>
    </w:p>
    <w:p w14:paraId="1AB4AD9E" w14:textId="02CB56AB" w:rsidR="00FA1528" w:rsidRPr="008D220A" w:rsidRDefault="00FA1528" w:rsidP="008131EA">
      <w:pPr>
        <w:pStyle w:val="rvps2"/>
        <w:numPr>
          <w:ilvl w:val="0"/>
          <w:numId w:val="31"/>
        </w:numPr>
        <w:spacing w:before="0" w:beforeAutospacing="0"/>
        <w:ind w:left="284" w:hanging="284"/>
        <w:jc w:val="both"/>
        <w:rPr>
          <w:rFonts w:ascii="Arial" w:hAnsi="Arial" w:cs="Arial"/>
        </w:rPr>
      </w:pPr>
      <w:r w:rsidRPr="008D220A">
        <w:rPr>
          <w:rFonts w:ascii="Arial" w:hAnsi="Arial" w:cs="Arial"/>
        </w:rPr>
        <w:t xml:space="preserve">In close cooperation with the IFC and Ukraine’s second largest state-owned bank “Oshchadbank”, the Project has developed a commercial Financial Support Mechanism (rather than one based on grants or other forms of subsidized lending) that includes legal, financial and technical aspects to </w:t>
      </w:r>
      <w:r w:rsidRPr="008D220A">
        <w:rPr>
          <w:rFonts w:ascii="Arial" w:hAnsi="Arial" w:cs="Arial"/>
          <w:lang w:eastAsia="ru-RU"/>
        </w:rPr>
        <w:t xml:space="preserve">encourage commercial lending to municipalities for financing biomass and energy efficiency projects. </w:t>
      </w:r>
    </w:p>
    <w:p w14:paraId="4DC88622" w14:textId="73980095" w:rsidR="00FA1528" w:rsidRPr="008D220A" w:rsidRDefault="00FA1528" w:rsidP="008131EA">
      <w:pPr>
        <w:pStyle w:val="rvps2"/>
        <w:numPr>
          <w:ilvl w:val="0"/>
          <w:numId w:val="31"/>
        </w:numPr>
        <w:spacing w:before="0" w:beforeAutospacing="0"/>
        <w:ind w:left="284" w:hanging="284"/>
        <w:jc w:val="both"/>
        <w:rPr>
          <w:rFonts w:ascii="Arial" w:hAnsi="Arial" w:cs="Arial"/>
        </w:rPr>
      </w:pPr>
      <w:r w:rsidRPr="008D220A">
        <w:rPr>
          <w:rFonts w:ascii="Arial" w:hAnsi="Arial" w:cs="Arial"/>
          <w:lang w:eastAsia="ru-RU"/>
        </w:rPr>
        <w:t xml:space="preserve">3 Oblasts of Ukraine has included Biomass Targets to their Energy related strategic documents. </w:t>
      </w:r>
    </w:p>
    <w:p w14:paraId="5A426F09" w14:textId="168C1580" w:rsidR="00FA1528" w:rsidRPr="008D220A" w:rsidRDefault="00FA1528" w:rsidP="008131EA">
      <w:pPr>
        <w:pStyle w:val="rvps2"/>
        <w:numPr>
          <w:ilvl w:val="0"/>
          <w:numId w:val="31"/>
        </w:numPr>
        <w:spacing w:before="0" w:beforeAutospacing="0"/>
        <w:ind w:left="284" w:hanging="284"/>
        <w:jc w:val="both"/>
        <w:rPr>
          <w:rFonts w:ascii="Arial" w:hAnsi="Arial" w:cs="Arial"/>
        </w:rPr>
      </w:pPr>
      <w:r w:rsidRPr="008D220A">
        <w:rPr>
          <w:rFonts w:ascii="Arial" w:hAnsi="Arial" w:cs="Arial"/>
          <w:lang w:eastAsia="ru-RU"/>
        </w:rPr>
        <w:t xml:space="preserve">Biomass multi-audience Info-kit has been developed. </w:t>
      </w:r>
    </w:p>
    <w:p w14:paraId="17217B90" w14:textId="7A8DEF4B" w:rsidR="00FA1528" w:rsidRPr="008D220A" w:rsidRDefault="00FA1528" w:rsidP="008131EA">
      <w:pPr>
        <w:pStyle w:val="rvps2"/>
        <w:numPr>
          <w:ilvl w:val="0"/>
          <w:numId w:val="31"/>
        </w:numPr>
        <w:spacing w:before="0" w:beforeAutospacing="0"/>
        <w:ind w:left="284" w:hanging="284"/>
        <w:jc w:val="both"/>
        <w:rPr>
          <w:rFonts w:ascii="Arial" w:hAnsi="Arial" w:cs="Arial"/>
        </w:rPr>
      </w:pPr>
      <w:r w:rsidRPr="008D220A">
        <w:rPr>
          <w:rFonts w:ascii="Arial" w:hAnsi="Arial" w:cs="Arial"/>
        </w:rPr>
        <w:t xml:space="preserve">Awareness and Capacity Building Training Campaign has started. </w:t>
      </w:r>
    </w:p>
    <w:p w14:paraId="748B063C" w14:textId="77777777" w:rsidR="008131EA" w:rsidRPr="008D220A" w:rsidRDefault="008131EA" w:rsidP="00251D33">
      <w:pPr>
        <w:pStyle w:val="af6"/>
        <w:widowControl w:val="0"/>
        <w:autoSpaceDE w:val="0"/>
        <w:autoSpaceDN w:val="0"/>
        <w:adjustRightInd w:val="0"/>
        <w:spacing w:after="240" w:line="260" w:lineRule="atLeast"/>
        <w:ind w:left="0"/>
        <w:jc w:val="both"/>
        <w:rPr>
          <w:rFonts w:ascii="Arial" w:hAnsi="Arial" w:cs="Arial"/>
          <w:sz w:val="24"/>
          <w:szCs w:val="24"/>
        </w:rPr>
      </w:pPr>
      <w:r w:rsidRPr="008D220A">
        <w:rPr>
          <w:rFonts w:ascii="Arial" w:hAnsi="Arial" w:cs="Arial"/>
          <w:sz w:val="24"/>
          <w:szCs w:val="24"/>
        </w:rPr>
        <w:t xml:space="preserve">There are still challenges and delays: </w:t>
      </w:r>
    </w:p>
    <w:p w14:paraId="4276D74A" w14:textId="2EC0BCEC" w:rsidR="00251D33" w:rsidRPr="008D220A" w:rsidRDefault="008131EA" w:rsidP="002D76F6">
      <w:pPr>
        <w:pStyle w:val="af6"/>
        <w:widowControl w:val="0"/>
        <w:numPr>
          <w:ilvl w:val="0"/>
          <w:numId w:val="32"/>
        </w:numPr>
        <w:autoSpaceDE w:val="0"/>
        <w:autoSpaceDN w:val="0"/>
        <w:adjustRightInd w:val="0"/>
        <w:spacing w:after="240" w:line="260" w:lineRule="atLeast"/>
        <w:ind w:left="284" w:hanging="284"/>
        <w:jc w:val="both"/>
        <w:rPr>
          <w:rFonts w:ascii="Arial" w:hAnsi="Arial" w:cs="Arial"/>
          <w:sz w:val="24"/>
          <w:szCs w:val="24"/>
        </w:rPr>
      </w:pPr>
      <w:r w:rsidRPr="008D220A">
        <w:rPr>
          <w:rFonts w:ascii="Arial" w:hAnsi="Arial" w:cs="Arial"/>
          <w:sz w:val="24"/>
          <w:szCs w:val="24"/>
        </w:rPr>
        <w:t xml:space="preserve">The </w:t>
      </w:r>
      <w:r w:rsidR="00251D33" w:rsidRPr="008D220A">
        <w:rPr>
          <w:rFonts w:ascii="Arial" w:hAnsi="Arial" w:cs="Arial"/>
          <w:sz w:val="24"/>
          <w:szCs w:val="24"/>
        </w:rPr>
        <w:t xml:space="preserve">Financial Support Mechanism established under the project has not been operationalized as planned in July 2017 </w:t>
      </w:r>
      <w:r w:rsidRPr="008D220A">
        <w:rPr>
          <w:rFonts w:ascii="Arial" w:hAnsi="Arial" w:cs="Arial"/>
          <w:sz w:val="24"/>
          <w:szCs w:val="24"/>
        </w:rPr>
        <w:t xml:space="preserve">mainly </w:t>
      </w:r>
      <w:r w:rsidR="00251D33" w:rsidRPr="008D220A">
        <w:rPr>
          <w:rFonts w:ascii="Arial" w:hAnsi="Arial" w:cs="Arial"/>
          <w:sz w:val="24"/>
          <w:szCs w:val="24"/>
        </w:rPr>
        <w:t xml:space="preserve">because the development path for municipal bioenergy and energy efficiency projects has been prolonged in line with the recent legislative changes related to urban development and construction that </w:t>
      </w:r>
      <w:r w:rsidRPr="008D220A">
        <w:rPr>
          <w:rFonts w:ascii="Arial" w:hAnsi="Arial" w:cs="Arial"/>
          <w:sz w:val="24"/>
          <w:szCs w:val="24"/>
        </w:rPr>
        <w:t xml:space="preserve">came into effect in </w:t>
      </w:r>
      <w:r w:rsidR="00251D33" w:rsidRPr="008D220A">
        <w:rPr>
          <w:rFonts w:ascii="Arial" w:hAnsi="Arial" w:cs="Arial"/>
          <w:sz w:val="24"/>
          <w:szCs w:val="24"/>
        </w:rPr>
        <w:t xml:space="preserve">June 2017. </w:t>
      </w:r>
    </w:p>
    <w:p w14:paraId="71812DE1" w14:textId="32002913" w:rsidR="008131EA" w:rsidRPr="008D220A" w:rsidRDefault="008131EA" w:rsidP="002D76F6">
      <w:pPr>
        <w:pStyle w:val="af6"/>
        <w:widowControl w:val="0"/>
        <w:numPr>
          <w:ilvl w:val="0"/>
          <w:numId w:val="32"/>
        </w:numPr>
        <w:autoSpaceDE w:val="0"/>
        <w:autoSpaceDN w:val="0"/>
        <w:adjustRightInd w:val="0"/>
        <w:spacing w:after="240" w:line="260" w:lineRule="atLeast"/>
        <w:ind w:left="284" w:hanging="284"/>
        <w:jc w:val="both"/>
        <w:rPr>
          <w:rFonts w:ascii="Arial" w:hAnsi="Arial" w:cs="Arial"/>
          <w:sz w:val="24"/>
          <w:szCs w:val="24"/>
        </w:rPr>
      </w:pPr>
      <w:r w:rsidRPr="008D220A">
        <w:rPr>
          <w:rFonts w:ascii="Arial" w:hAnsi="Arial" w:cs="Arial"/>
          <w:sz w:val="24"/>
          <w:szCs w:val="24"/>
        </w:rPr>
        <w:t xml:space="preserve">Four out of seven pilot oblasts have not adopted </w:t>
      </w:r>
      <w:r w:rsidR="003A7481" w:rsidRPr="008D220A">
        <w:rPr>
          <w:rFonts w:ascii="Arial" w:hAnsi="Arial" w:cs="Arial"/>
          <w:sz w:val="24"/>
          <w:szCs w:val="24"/>
        </w:rPr>
        <w:t>Biomass targets yet.</w:t>
      </w:r>
    </w:p>
    <w:p w14:paraId="431411AD" w14:textId="5A3A41C4" w:rsidR="00F63C0A" w:rsidRPr="008D220A" w:rsidRDefault="003A7481" w:rsidP="002D76F6">
      <w:pPr>
        <w:pStyle w:val="af6"/>
        <w:widowControl w:val="0"/>
        <w:numPr>
          <w:ilvl w:val="0"/>
          <w:numId w:val="32"/>
        </w:numPr>
        <w:autoSpaceDE w:val="0"/>
        <w:autoSpaceDN w:val="0"/>
        <w:adjustRightInd w:val="0"/>
        <w:spacing w:after="240" w:line="260" w:lineRule="atLeast"/>
        <w:ind w:left="284" w:hanging="284"/>
        <w:jc w:val="both"/>
        <w:rPr>
          <w:rFonts w:ascii="Arial" w:hAnsi="Arial" w:cs="Arial"/>
        </w:rPr>
      </w:pPr>
      <w:r w:rsidRPr="008D220A">
        <w:rPr>
          <w:rFonts w:ascii="Arial" w:hAnsi="Arial" w:cs="Arial"/>
          <w:sz w:val="24"/>
          <w:szCs w:val="24"/>
        </w:rPr>
        <w:t>Monitoring &amp; Evaluation of the operation of pilot projects is yet to start.</w:t>
      </w:r>
    </w:p>
    <w:p w14:paraId="3C1AABDA" w14:textId="77777777" w:rsidR="001A01F1" w:rsidRPr="008D220A" w:rsidRDefault="009E3BE8" w:rsidP="00B758FC">
      <w:pPr>
        <w:pStyle w:val="1"/>
        <w:numPr>
          <w:ilvl w:val="0"/>
          <w:numId w:val="2"/>
        </w:numPr>
        <w:ind w:left="284" w:hanging="284"/>
        <w:rPr>
          <w:sz w:val="28"/>
          <w:szCs w:val="28"/>
          <w:lang w:val="en-US"/>
        </w:rPr>
      </w:pPr>
      <w:bookmarkStart w:id="14" w:name="_Toc376123022"/>
      <w:r w:rsidRPr="008D220A">
        <w:rPr>
          <w:sz w:val="28"/>
          <w:szCs w:val="28"/>
          <w:lang w:val="en-US"/>
        </w:rPr>
        <w:t>B</w:t>
      </w:r>
      <w:r w:rsidR="0047491B" w:rsidRPr="008D220A">
        <w:rPr>
          <w:sz w:val="28"/>
          <w:szCs w:val="28"/>
          <w:lang w:val="en-US"/>
        </w:rPr>
        <w:t>ackground</w:t>
      </w:r>
      <w:bookmarkEnd w:id="14"/>
      <w:r w:rsidR="0047491B" w:rsidRPr="008D220A">
        <w:rPr>
          <w:sz w:val="28"/>
          <w:szCs w:val="28"/>
          <w:lang w:val="en-US"/>
        </w:rPr>
        <w:t xml:space="preserve"> </w:t>
      </w:r>
      <w:bookmarkEnd w:id="13"/>
    </w:p>
    <w:p w14:paraId="6C0A238D" w14:textId="77777777" w:rsidR="000B6976" w:rsidRPr="008D220A" w:rsidRDefault="000B6976" w:rsidP="002B391B">
      <w:pPr>
        <w:tabs>
          <w:tab w:val="left" w:pos="0"/>
        </w:tabs>
        <w:contextualSpacing/>
        <w:jc w:val="both"/>
        <w:rPr>
          <w:rFonts w:ascii="Arial" w:hAnsi="Arial" w:cs="Arial"/>
          <w:b/>
          <w:sz w:val="24"/>
          <w:szCs w:val="24"/>
          <w:u w:val="single"/>
          <w:lang w:val="en-US"/>
        </w:rPr>
      </w:pPr>
      <w:bookmarkStart w:id="15" w:name="_Toc154300538"/>
    </w:p>
    <w:p w14:paraId="5C02C41E" w14:textId="77777777" w:rsidR="00957B8B" w:rsidRPr="008D220A" w:rsidRDefault="00957B8B" w:rsidP="00F130F2">
      <w:pPr>
        <w:pStyle w:val="2"/>
        <w:numPr>
          <w:ilvl w:val="1"/>
          <w:numId w:val="2"/>
        </w:numPr>
        <w:spacing w:before="0" w:after="0"/>
        <w:ind w:left="0" w:firstLine="0"/>
        <w:rPr>
          <w:lang w:val="en-US"/>
        </w:rPr>
      </w:pPr>
      <w:bookmarkStart w:id="16" w:name="_Toc376123023"/>
      <w:r w:rsidRPr="008D220A">
        <w:rPr>
          <w:lang w:val="en-US"/>
        </w:rPr>
        <w:lastRenderedPageBreak/>
        <w:t xml:space="preserve">Project </w:t>
      </w:r>
      <w:r w:rsidR="004403C0" w:rsidRPr="008D220A">
        <w:rPr>
          <w:lang w:val="en-US"/>
        </w:rPr>
        <w:t>genesis</w:t>
      </w:r>
      <w:bookmarkEnd w:id="16"/>
      <w:r w:rsidR="004403C0" w:rsidRPr="008D220A">
        <w:rPr>
          <w:lang w:val="en-US"/>
        </w:rPr>
        <w:t xml:space="preserve"> </w:t>
      </w:r>
      <w:bookmarkEnd w:id="15"/>
    </w:p>
    <w:p w14:paraId="712AA250" w14:textId="77777777" w:rsidR="00957B8B" w:rsidRPr="008D220A" w:rsidRDefault="00957B8B" w:rsidP="00F130F2">
      <w:pPr>
        <w:pStyle w:val="a4"/>
        <w:jc w:val="both"/>
        <w:rPr>
          <w:rFonts w:ascii="Arial" w:hAnsi="Arial" w:cs="Arial"/>
          <w:b w:val="0"/>
          <w:sz w:val="24"/>
          <w:szCs w:val="24"/>
          <w:u w:val="none"/>
        </w:rPr>
      </w:pPr>
    </w:p>
    <w:p w14:paraId="0BA1DB17" w14:textId="518655CD" w:rsidR="00B873F0" w:rsidRPr="008D220A" w:rsidRDefault="006E0C77" w:rsidP="00F130F2">
      <w:pPr>
        <w:jc w:val="both"/>
        <w:rPr>
          <w:rFonts w:ascii="Arial" w:hAnsi="Arial" w:cs="Arial"/>
          <w:bCs/>
          <w:sz w:val="24"/>
          <w:szCs w:val="24"/>
          <w:lang w:val="en-US"/>
        </w:rPr>
      </w:pPr>
      <w:r w:rsidRPr="008D220A">
        <w:rPr>
          <w:rFonts w:ascii="Arial" w:hAnsi="Arial" w:cs="Arial"/>
          <w:sz w:val="24"/>
          <w:lang w:val="en-US"/>
        </w:rPr>
        <w:t xml:space="preserve">The formulated full-sized project aimed at </w:t>
      </w:r>
      <w:r w:rsidRPr="008D220A">
        <w:rPr>
          <w:rFonts w:ascii="Arial" w:hAnsi="Arial" w:cs="Arial"/>
          <w:sz w:val="24"/>
          <w:szCs w:val="24"/>
          <w:lang w:val="en-US"/>
        </w:rPr>
        <w:t xml:space="preserve">“Development and Commercialization of Bioenergy Technologies in the Municipal Sector of Ukraine” </w:t>
      </w:r>
      <w:r w:rsidRPr="008D220A">
        <w:rPr>
          <w:rFonts w:ascii="Arial" w:hAnsi="Arial" w:cs="Arial"/>
          <w:sz w:val="24"/>
          <w:lang w:val="en-US"/>
        </w:rPr>
        <w:t xml:space="preserve">with the GEF-funded budget of 4,700,000 USD and committed co-financing for over 30,000,000 USD </w:t>
      </w:r>
      <w:r w:rsidRPr="008D220A">
        <w:rPr>
          <w:rFonts w:ascii="Arial" w:hAnsi="Arial" w:cs="Arial"/>
          <w:sz w:val="24"/>
          <w:szCs w:val="24"/>
          <w:lang w:val="en-US"/>
        </w:rPr>
        <w:t>was approved by GEF in early 2014 and the officially started on 24 June 2014.</w:t>
      </w:r>
    </w:p>
    <w:p w14:paraId="5B5EB6EE" w14:textId="77777777" w:rsidR="0043060C" w:rsidRPr="008D220A" w:rsidRDefault="0043060C" w:rsidP="00F130F2">
      <w:pPr>
        <w:jc w:val="both"/>
        <w:rPr>
          <w:rFonts w:ascii="Arial" w:hAnsi="Arial" w:cs="Arial"/>
          <w:bCs/>
          <w:sz w:val="24"/>
          <w:szCs w:val="24"/>
          <w:lang w:val="en-US"/>
        </w:rPr>
      </w:pPr>
    </w:p>
    <w:p w14:paraId="294FAA2E" w14:textId="5A23CFC2" w:rsidR="00E852A5" w:rsidRPr="008D220A" w:rsidRDefault="0043060C" w:rsidP="0043060C">
      <w:pPr>
        <w:shd w:val="clear" w:color="auto" w:fill="FFFFFF" w:themeFill="background1"/>
        <w:contextualSpacing/>
        <w:jc w:val="both"/>
        <w:rPr>
          <w:rFonts w:ascii="Arial" w:hAnsi="Arial" w:cs="Arial"/>
          <w:sz w:val="24"/>
          <w:szCs w:val="24"/>
          <w:lang w:val="en-US"/>
        </w:rPr>
      </w:pPr>
      <w:r w:rsidRPr="008D220A">
        <w:rPr>
          <w:rFonts w:ascii="Arial" w:hAnsi="Arial" w:cs="Arial"/>
          <w:sz w:val="24"/>
          <w:szCs w:val="24"/>
          <w:lang w:val="en-US"/>
        </w:rPr>
        <w:t>UNDP Ukraine is implementing the project directly using UNDP Direct Implementation Modality</w:t>
      </w:r>
      <w:r w:rsidR="000500C9" w:rsidRPr="008D220A">
        <w:rPr>
          <w:rFonts w:ascii="Arial" w:hAnsi="Arial" w:cs="Arial"/>
          <w:sz w:val="24"/>
          <w:szCs w:val="24"/>
          <w:lang w:val="en-US"/>
        </w:rPr>
        <w:t>; h</w:t>
      </w:r>
      <w:r w:rsidRPr="008D220A">
        <w:rPr>
          <w:rFonts w:ascii="Arial" w:hAnsi="Arial" w:cs="Arial"/>
          <w:sz w:val="24"/>
          <w:szCs w:val="24"/>
          <w:lang w:val="en-US"/>
        </w:rPr>
        <w:t>owever, in line with the established procedure of state registration of international technical assistance projects</w:t>
      </w:r>
      <w:r w:rsidR="000500C9" w:rsidRPr="008D220A">
        <w:rPr>
          <w:rFonts w:ascii="Arial" w:hAnsi="Arial" w:cs="Arial"/>
          <w:sz w:val="24"/>
          <w:szCs w:val="24"/>
          <w:lang w:val="en-US"/>
        </w:rPr>
        <w:t>,</w:t>
      </w:r>
      <w:r w:rsidRPr="008D220A">
        <w:rPr>
          <w:rFonts w:ascii="Arial" w:hAnsi="Arial" w:cs="Arial"/>
          <w:sz w:val="24"/>
          <w:szCs w:val="24"/>
          <w:lang w:val="en-US"/>
        </w:rPr>
        <w:t xml:space="preserve"> the State Agency on Energy Efficiency and Energy Saving of Ukraine</w:t>
      </w:r>
      <w:r w:rsidR="000500C9" w:rsidRPr="008D220A">
        <w:rPr>
          <w:rFonts w:ascii="Arial" w:hAnsi="Arial" w:cs="Arial"/>
          <w:sz w:val="24"/>
          <w:szCs w:val="24"/>
          <w:lang w:val="en-US"/>
        </w:rPr>
        <w:t xml:space="preserve"> (which </w:t>
      </w:r>
      <w:r w:rsidR="008C6CD3" w:rsidRPr="008D220A">
        <w:rPr>
          <w:rFonts w:ascii="Arial" w:hAnsi="Arial" w:cs="Arial"/>
          <w:sz w:val="24"/>
          <w:szCs w:val="24"/>
          <w:lang w:val="en-US"/>
        </w:rPr>
        <w:t>is currently the main state institution responsible for the implementation of renewable energy policy</w:t>
      </w:r>
      <w:r w:rsidR="000500C9" w:rsidRPr="008D220A">
        <w:rPr>
          <w:rFonts w:ascii="Arial" w:hAnsi="Arial" w:cs="Arial"/>
          <w:sz w:val="24"/>
          <w:szCs w:val="24"/>
          <w:lang w:val="en-US"/>
        </w:rPr>
        <w:t>)</w:t>
      </w:r>
      <w:r w:rsidR="008C6CD3" w:rsidRPr="008D220A">
        <w:rPr>
          <w:rFonts w:ascii="Arial" w:hAnsi="Arial" w:cs="Arial"/>
          <w:sz w:val="24"/>
          <w:szCs w:val="24"/>
          <w:lang w:val="en-US"/>
        </w:rPr>
        <w:t xml:space="preserve"> has been </w:t>
      </w:r>
      <w:r w:rsidRPr="008D220A">
        <w:rPr>
          <w:rFonts w:ascii="Arial" w:hAnsi="Arial" w:cs="Arial"/>
          <w:sz w:val="24"/>
          <w:szCs w:val="24"/>
          <w:lang w:val="en-US"/>
        </w:rPr>
        <w:t xml:space="preserve">defined as the project beneficiary </w:t>
      </w:r>
      <w:r w:rsidR="004D7F36" w:rsidRPr="008D220A">
        <w:rPr>
          <w:rFonts w:ascii="Arial" w:hAnsi="Arial" w:cs="Arial"/>
          <w:sz w:val="24"/>
          <w:szCs w:val="24"/>
          <w:lang w:val="en-US"/>
        </w:rPr>
        <w:t>and participates in the Project Board.</w:t>
      </w:r>
      <w:r w:rsidRPr="008D220A">
        <w:rPr>
          <w:rFonts w:ascii="Arial" w:hAnsi="Arial" w:cs="Arial"/>
          <w:sz w:val="24"/>
          <w:szCs w:val="24"/>
          <w:lang w:val="en-US"/>
        </w:rPr>
        <w:t xml:space="preserve"> </w:t>
      </w:r>
    </w:p>
    <w:p w14:paraId="72C4B318" w14:textId="77777777" w:rsidR="00E852A5" w:rsidRPr="008D220A" w:rsidRDefault="00E852A5" w:rsidP="0043060C">
      <w:pPr>
        <w:shd w:val="clear" w:color="auto" w:fill="FFFFFF" w:themeFill="background1"/>
        <w:contextualSpacing/>
        <w:jc w:val="both"/>
        <w:rPr>
          <w:rFonts w:ascii="Arial" w:hAnsi="Arial" w:cs="Arial"/>
          <w:sz w:val="24"/>
          <w:szCs w:val="24"/>
          <w:lang w:val="en-US"/>
        </w:rPr>
      </w:pPr>
    </w:p>
    <w:p w14:paraId="5B9C9D6E" w14:textId="328BC0BE" w:rsidR="0043060C" w:rsidRPr="008D220A" w:rsidRDefault="0043060C" w:rsidP="0043060C">
      <w:pPr>
        <w:shd w:val="clear" w:color="auto" w:fill="FFFFFF" w:themeFill="background1"/>
        <w:contextualSpacing/>
        <w:jc w:val="both"/>
        <w:rPr>
          <w:rFonts w:ascii="Arial" w:hAnsi="Arial" w:cs="Arial"/>
          <w:sz w:val="24"/>
          <w:szCs w:val="24"/>
          <w:lang w:val="en-US"/>
        </w:rPr>
      </w:pPr>
      <w:r w:rsidRPr="008D220A">
        <w:rPr>
          <w:rFonts w:ascii="Arial" w:hAnsi="Arial" w:cs="Arial"/>
          <w:sz w:val="24"/>
          <w:szCs w:val="24"/>
          <w:lang w:val="en-US"/>
        </w:rPr>
        <w:t xml:space="preserve">Other Key project partners include: </w:t>
      </w:r>
      <w:r w:rsidR="000500C9" w:rsidRPr="008D220A">
        <w:rPr>
          <w:rFonts w:ascii="Arial" w:hAnsi="Arial" w:cs="Arial"/>
          <w:sz w:val="24"/>
          <w:szCs w:val="24"/>
          <w:lang w:val="en-US"/>
        </w:rPr>
        <w:t xml:space="preserve">the Ministry of Ecology and Natural Resources of Ukraine, </w:t>
      </w:r>
      <w:r w:rsidR="00ED30CD" w:rsidRPr="008D220A">
        <w:rPr>
          <w:rFonts w:ascii="Arial" w:hAnsi="Arial" w:cs="Arial"/>
          <w:sz w:val="24"/>
          <w:szCs w:val="24"/>
          <w:lang w:val="en-US"/>
        </w:rPr>
        <w:t xml:space="preserve">the </w:t>
      </w:r>
      <w:r w:rsidRPr="008D220A">
        <w:rPr>
          <w:rFonts w:ascii="Arial" w:hAnsi="Arial" w:cs="Arial"/>
          <w:sz w:val="24"/>
          <w:szCs w:val="24"/>
          <w:lang w:val="en-US"/>
        </w:rPr>
        <w:t xml:space="preserve">Ministry of Regional Development, Construction, Housing and Communal Services of Ukraine, </w:t>
      </w:r>
      <w:r w:rsidR="00811C05" w:rsidRPr="008D220A">
        <w:rPr>
          <w:rFonts w:ascii="Arial" w:hAnsi="Arial" w:cs="Arial"/>
          <w:sz w:val="24"/>
          <w:szCs w:val="24"/>
          <w:lang w:val="en-US"/>
        </w:rPr>
        <w:t xml:space="preserve">relevant parliamentary committees, </w:t>
      </w:r>
      <w:r w:rsidR="000500C9" w:rsidRPr="008D220A">
        <w:rPr>
          <w:rFonts w:ascii="Arial" w:hAnsi="Arial" w:cs="Arial"/>
          <w:sz w:val="24"/>
          <w:szCs w:val="24"/>
          <w:lang w:val="en-US"/>
        </w:rPr>
        <w:t>the World Bank Group</w:t>
      </w:r>
      <w:r w:rsidR="00ED30CD" w:rsidRPr="008D220A">
        <w:rPr>
          <w:rFonts w:ascii="Arial" w:hAnsi="Arial" w:cs="Arial"/>
          <w:sz w:val="24"/>
          <w:szCs w:val="24"/>
          <w:lang w:val="en-US"/>
        </w:rPr>
        <w:t xml:space="preserve">, </w:t>
      </w:r>
      <w:r w:rsidRPr="008D220A">
        <w:rPr>
          <w:rFonts w:ascii="Arial" w:hAnsi="Arial" w:cs="Arial"/>
          <w:sz w:val="24"/>
          <w:szCs w:val="24"/>
          <w:lang w:val="en-US"/>
        </w:rPr>
        <w:t xml:space="preserve">target municipalities and regions. </w:t>
      </w:r>
    </w:p>
    <w:p w14:paraId="27C88154" w14:textId="77777777" w:rsidR="001144F1" w:rsidRPr="008D220A" w:rsidRDefault="001144F1" w:rsidP="00D16E04">
      <w:pPr>
        <w:pStyle w:val="rvps2"/>
        <w:spacing w:before="0" w:beforeAutospacing="0" w:after="0" w:afterAutospacing="0"/>
        <w:jc w:val="both"/>
        <w:rPr>
          <w:rFonts w:ascii="Arial" w:hAnsi="Arial" w:cs="Arial"/>
          <w:shd w:val="clear" w:color="auto" w:fill="FFFFFF"/>
        </w:rPr>
      </w:pPr>
    </w:p>
    <w:p w14:paraId="7C271115" w14:textId="128D1C28" w:rsidR="001144F1" w:rsidRPr="008D220A" w:rsidRDefault="001144F1" w:rsidP="001144F1">
      <w:pPr>
        <w:shd w:val="clear" w:color="auto" w:fill="FFFFFF" w:themeFill="background1"/>
        <w:contextualSpacing/>
        <w:jc w:val="both"/>
        <w:rPr>
          <w:rFonts w:ascii="Arial" w:hAnsi="Arial" w:cs="Arial"/>
          <w:bCs/>
          <w:sz w:val="24"/>
          <w:szCs w:val="24"/>
          <w:lang w:val="en-US"/>
        </w:rPr>
      </w:pPr>
      <w:r w:rsidRPr="008D220A">
        <w:rPr>
          <w:rFonts w:ascii="Arial" w:hAnsi="Arial" w:cs="Arial"/>
          <w:sz w:val="24"/>
          <w:szCs w:val="24"/>
          <w:shd w:val="clear" w:color="auto" w:fill="FFFFFF"/>
          <w:lang w:val="en-US"/>
        </w:rPr>
        <w:t xml:space="preserve">In 2014 the project kickoff activities mostly took place, and only </w:t>
      </w:r>
      <w:r w:rsidRPr="008D220A">
        <w:rPr>
          <w:rFonts w:ascii="Arial" w:hAnsi="Arial" w:cs="Arial"/>
          <w:bCs/>
          <w:sz w:val="24"/>
          <w:szCs w:val="24"/>
          <w:lang w:val="en-US"/>
        </w:rPr>
        <w:t>following the engagement of the Project Manager in September 2014 and holding of the Project Inception Workshop on 19 November 2014 the actual implementation of the project has begun.</w:t>
      </w:r>
    </w:p>
    <w:p w14:paraId="28FB5934" w14:textId="00D27BD6" w:rsidR="00494887" w:rsidRPr="008D220A" w:rsidRDefault="00494887" w:rsidP="00D16E04">
      <w:pPr>
        <w:pStyle w:val="rvps2"/>
        <w:spacing w:before="0" w:beforeAutospacing="0" w:after="0" w:afterAutospacing="0"/>
        <w:jc w:val="both"/>
        <w:rPr>
          <w:rFonts w:ascii="Arial" w:hAnsi="Arial" w:cs="Arial"/>
          <w:shd w:val="clear" w:color="auto" w:fill="FFFFFF"/>
        </w:rPr>
      </w:pPr>
    </w:p>
    <w:p w14:paraId="219112EE" w14:textId="5D65262E" w:rsidR="00095AF8" w:rsidRPr="008D220A" w:rsidRDefault="00F643F0" w:rsidP="00E852A5">
      <w:pPr>
        <w:pStyle w:val="rvps2"/>
        <w:spacing w:before="0" w:beforeAutospacing="0" w:after="0" w:afterAutospacing="0"/>
        <w:jc w:val="both"/>
        <w:rPr>
          <w:rFonts w:ascii="Arial" w:hAnsi="Arial" w:cs="Arial"/>
        </w:rPr>
      </w:pPr>
      <w:r w:rsidRPr="008D220A">
        <w:rPr>
          <w:rFonts w:ascii="Arial" w:hAnsi="Arial" w:cs="Arial"/>
          <w:shd w:val="clear" w:color="auto" w:fill="FFFFFF"/>
        </w:rPr>
        <w:t xml:space="preserve">The </w:t>
      </w:r>
      <w:r w:rsidR="00095AF8" w:rsidRPr="008D220A">
        <w:rPr>
          <w:rFonts w:ascii="Arial" w:hAnsi="Arial" w:cs="Arial"/>
          <w:shd w:val="clear" w:color="auto" w:fill="FFFFFF"/>
        </w:rPr>
        <w:t xml:space="preserve">year </w:t>
      </w:r>
      <w:r w:rsidR="00D16E04" w:rsidRPr="008D220A">
        <w:rPr>
          <w:rFonts w:ascii="Arial" w:hAnsi="Arial" w:cs="Arial"/>
          <w:shd w:val="clear" w:color="auto" w:fill="FFFFFF"/>
        </w:rPr>
        <w:t>2015 w</w:t>
      </w:r>
      <w:r w:rsidRPr="008D220A">
        <w:rPr>
          <w:rFonts w:ascii="Arial" w:hAnsi="Arial" w:cs="Arial"/>
          <w:shd w:val="clear" w:color="auto" w:fill="FFFFFF"/>
        </w:rPr>
        <w:t>as</w:t>
      </w:r>
      <w:r w:rsidR="00D16E04" w:rsidRPr="008D220A">
        <w:rPr>
          <w:rFonts w:ascii="Arial" w:hAnsi="Arial" w:cs="Arial"/>
          <w:shd w:val="clear" w:color="auto" w:fill="FFFFFF"/>
        </w:rPr>
        <w:t xml:space="preserve"> quite challenging for the project implementation due to various </w:t>
      </w:r>
      <w:r w:rsidR="00D16E04" w:rsidRPr="008D220A">
        <w:rPr>
          <w:rFonts w:ascii="Arial" w:hAnsi="Arial" w:cs="Arial"/>
        </w:rPr>
        <w:t xml:space="preserve">political transformations in Ukraine </w:t>
      </w:r>
      <w:r w:rsidR="00445B8E" w:rsidRPr="008D220A">
        <w:rPr>
          <w:rFonts w:ascii="Arial" w:hAnsi="Arial" w:cs="Arial"/>
        </w:rPr>
        <w:t xml:space="preserve">that caused serious changes in </w:t>
      </w:r>
      <w:r w:rsidR="00D16E04" w:rsidRPr="008D220A">
        <w:rPr>
          <w:rFonts w:ascii="Arial" w:hAnsi="Arial" w:cs="Arial"/>
        </w:rPr>
        <w:t xml:space="preserve">the national institutional context </w:t>
      </w:r>
      <w:r w:rsidR="00445B8E" w:rsidRPr="008D220A">
        <w:rPr>
          <w:rFonts w:ascii="Arial" w:hAnsi="Arial" w:cs="Arial"/>
        </w:rPr>
        <w:t xml:space="preserve">affecting the project design, </w:t>
      </w:r>
      <w:r w:rsidR="001917DC" w:rsidRPr="008D220A">
        <w:rPr>
          <w:rFonts w:ascii="Arial" w:hAnsi="Arial" w:cs="Arial"/>
        </w:rPr>
        <w:t>partnership</w:t>
      </w:r>
      <w:r w:rsidR="00445B8E" w:rsidRPr="008D220A">
        <w:rPr>
          <w:rFonts w:ascii="Arial" w:hAnsi="Arial" w:cs="Arial"/>
        </w:rPr>
        <w:t xml:space="preserve"> arrangements and </w:t>
      </w:r>
      <w:r w:rsidR="008625F6" w:rsidRPr="008D220A">
        <w:rPr>
          <w:rFonts w:ascii="Arial" w:hAnsi="Arial" w:cs="Arial"/>
        </w:rPr>
        <w:t>progress</w:t>
      </w:r>
      <w:r w:rsidR="00445B8E" w:rsidRPr="008D220A">
        <w:rPr>
          <w:rFonts w:ascii="Arial" w:hAnsi="Arial" w:cs="Arial"/>
        </w:rPr>
        <w:t>.</w:t>
      </w:r>
      <w:r w:rsidR="00D16E04" w:rsidRPr="008D220A">
        <w:rPr>
          <w:rFonts w:ascii="Arial" w:hAnsi="Arial" w:cs="Arial"/>
        </w:rPr>
        <w:t xml:space="preserve"> </w:t>
      </w:r>
      <w:r w:rsidRPr="008D220A">
        <w:rPr>
          <w:rFonts w:ascii="Arial" w:hAnsi="Arial" w:cs="Arial"/>
          <w:shd w:val="clear" w:color="auto" w:fill="FFFFFF"/>
        </w:rPr>
        <w:t xml:space="preserve">There were delays with the project’s Component 2 (biomass market development through support of the Biomass Support Unit) and partially Component 3 (Financial Support Mechanism – FSM) due to major institutional changes within the state executive bodies (ministries) and liquidation of the initially selected partner for the FSM development and implementation. </w:t>
      </w:r>
    </w:p>
    <w:p w14:paraId="2DD67422" w14:textId="77777777" w:rsidR="00F643F0" w:rsidRPr="008D220A" w:rsidRDefault="00F643F0" w:rsidP="00E852A5">
      <w:pPr>
        <w:pStyle w:val="rvps2"/>
        <w:spacing w:before="0" w:beforeAutospacing="0" w:after="0" w:afterAutospacing="0"/>
        <w:jc w:val="both"/>
        <w:rPr>
          <w:rFonts w:ascii="Arial" w:hAnsi="Arial" w:cs="Arial"/>
        </w:rPr>
      </w:pPr>
    </w:p>
    <w:p w14:paraId="3AF1E0AA" w14:textId="46DD124D" w:rsidR="00095AF8" w:rsidRPr="008D220A" w:rsidRDefault="00F643F0" w:rsidP="00D16E04">
      <w:pPr>
        <w:pStyle w:val="rvps2"/>
        <w:spacing w:before="0" w:beforeAutospacing="0" w:after="0" w:afterAutospacing="0"/>
        <w:jc w:val="both"/>
        <w:rPr>
          <w:rFonts w:ascii="Arial" w:hAnsi="Arial" w:cs="Arial"/>
        </w:rPr>
      </w:pPr>
      <w:r w:rsidRPr="008D220A">
        <w:rPr>
          <w:rFonts w:ascii="Arial" w:hAnsi="Arial" w:cs="Arial"/>
        </w:rPr>
        <w:t>I</w:t>
      </w:r>
      <w:r w:rsidR="00095AF8" w:rsidRPr="008D220A">
        <w:rPr>
          <w:rFonts w:ascii="Arial" w:hAnsi="Arial" w:cs="Arial"/>
        </w:rPr>
        <w:t xml:space="preserve">n </w:t>
      </w:r>
      <w:r w:rsidR="007929DF" w:rsidRPr="008D220A">
        <w:rPr>
          <w:rFonts w:ascii="Arial" w:hAnsi="Arial" w:cs="Arial"/>
        </w:rPr>
        <w:t>201</w:t>
      </w:r>
      <w:r w:rsidR="00C16032" w:rsidRPr="008D220A">
        <w:rPr>
          <w:rFonts w:ascii="Arial" w:hAnsi="Arial" w:cs="Arial"/>
        </w:rPr>
        <w:t>6</w:t>
      </w:r>
      <w:r w:rsidR="007929DF" w:rsidRPr="008D220A">
        <w:rPr>
          <w:rFonts w:ascii="Arial" w:hAnsi="Arial" w:cs="Arial"/>
        </w:rPr>
        <w:t xml:space="preserve"> </w:t>
      </w:r>
      <w:r w:rsidR="00095AF8" w:rsidRPr="008D220A">
        <w:rPr>
          <w:rFonts w:ascii="Arial" w:hAnsi="Arial" w:cs="Arial"/>
        </w:rPr>
        <w:t xml:space="preserve">all project components were addressed to a greater or lesser extent with good progress achieved under Components 3 and 4, and modest progress under Component 1 and 2 due to external factors affecting the project implementation. </w:t>
      </w:r>
    </w:p>
    <w:p w14:paraId="0A1F31EE" w14:textId="77777777" w:rsidR="00D16E04" w:rsidRPr="008D220A" w:rsidRDefault="00D16E04" w:rsidP="00D16E04">
      <w:pPr>
        <w:pStyle w:val="af6"/>
        <w:autoSpaceDE w:val="0"/>
        <w:autoSpaceDN w:val="0"/>
        <w:adjustRightInd w:val="0"/>
        <w:spacing w:after="0" w:line="240" w:lineRule="auto"/>
        <w:ind w:left="0"/>
        <w:jc w:val="both"/>
        <w:rPr>
          <w:rFonts w:ascii="Arial" w:hAnsi="Arial" w:cs="Arial"/>
          <w:sz w:val="24"/>
          <w:szCs w:val="24"/>
        </w:rPr>
      </w:pPr>
    </w:p>
    <w:p w14:paraId="2B18093F" w14:textId="77777777" w:rsidR="00E852A5" w:rsidRPr="008D220A" w:rsidRDefault="00E852A5" w:rsidP="00E852A5">
      <w:pPr>
        <w:jc w:val="both"/>
        <w:rPr>
          <w:rFonts w:ascii="Arial" w:hAnsi="Arial" w:cs="Arial"/>
          <w:sz w:val="24"/>
          <w:szCs w:val="24"/>
          <w:shd w:val="clear" w:color="auto" w:fill="FFFFFF"/>
          <w:lang w:val="en-US"/>
        </w:rPr>
      </w:pPr>
      <w:r w:rsidRPr="008D220A">
        <w:rPr>
          <w:rFonts w:ascii="Arial" w:hAnsi="Arial" w:cs="Arial"/>
          <w:b/>
          <w:bCs/>
          <w:sz w:val="24"/>
          <w:szCs w:val="24"/>
          <w:lang w:val="en-US"/>
        </w:rPr>
        <w:t>COMPONENT (ACTIVITY) 1:</w:t>
      </w:r>
      <w:r w:rsidRPr="008D220A">
        <w:rPr>
          <w:rFonts w:ascii="Arial" w:hAnsi="Arial" w:cs="Arial"/>
          <w:bCs/>
          <w:sz w:val="24"/>
          <w:szCs w:val="24"/>
          <w:lang w:val="en-US"/>
        </w:rPr>
        <w:t xml:space="preserve"> </w:t>
      </w:r>
      <w:r w:rsidRPr="008D220A">
        <w:rPr>
          <w:rFonts w:ascii="Arial" w:hAnsi="Arial" w:cs="Arial"/>
          <w:sz w:val="24"/>
          <w:szCs w:val="24"/>
          <w:shd w:val="clear" w:color="auto" w:fill="FFFFFF"/>
          <w:lang w:val="en-US"/>
        </w:rPr>
        <w:t>Market-oriented policy and legal/regulatory framework.</w:t>
      </w:r>
    </w:p>
    <w:p w14:paraId="542778F2" w14:textId="77777777" w:rsidR="00E852A5" w:rsidRPr="008D220A" w:rsidRDefault="00E852A5" w:rsidP="00E852A5">
      <w:pPr>
        <w:jc w:val="both"/>
        <w:rPr>
          <w:rFonts w:ascii="Arial" w:hAnsi="Arial" w:cs="Arial"/>
          <w:sz w:val="24"/>
          <w:szCs w:val="24"/>
          <w:lang w:val="en-US"/>
        </w:rPr>
      </w:pPr>
      <w:r w:rsidRPr="008D220A">
        <w:rPr>
          <w:rFonts w:ascii="Arial" w:hAnsi="Arial" w:cs="Arial"/>
          <w:sz w:val="24"/>
          <w:szCs w:val="24"/>
          <w:lang w:val="en-US"/>
        </w:rPr>
        <w:t>This activity aims to formulate and introduce a streamlined and comprehensive market-oriented policy and legal/regulatory framework (“macro level” activities) to promote municipal biomass for heat and hot water services in the country, which includes national/municipal targets for biomass energy for heating.</w:t>
      </w:r>
    </w:p>
    <w:p w14:paraId="0957CB90" w14:textId="77777777" w:rsidR="00E852A5" w:rsidRPr="008D220A" w:rsidRDefault="00E852A5" w:rsidP="00E852A5">
      <w:pPr>
        <w:jc w:val="both"/>
        <w:rPr>
          <w:rFonts w:ascii="Arial" w:hAnsi="Arial" w:cs="Arial"/>
          <w:sz w:val="24"/>
          <w:szCs w:val="24"/>
          <w:lang w:val="en-US"/>
        </w:rPr>
      </w:pPr>
    </w:p>
    <w:p w14:paraId="0828F928" w14:textId="54D97A0C" w:rsidR="00E852A5" w:rsidRPr="008D220A" w:rsidRDefault="00E852A5" w:rsidP="00E852A5">
      <w:pPr>
        <w:jc w:val="both"/>
        <w:rPr>
          <w:rFonts w:ascii="Arial" w:hAnsi="Arial" w:cs="Arial"/>
          <w:b/>
          <w:sz w:val="24"/>
          <w:szCs w:val="24"/>
          <w:lang w:val="en-US"/>
        </w:rPr>
      </w:pPr>
      <w:r w:rsidRPr="008D220A">
        <w:rPr>
          <w:rFonts w:ascii="Arial" w:hAnsi="Arial" w:cs="Arial"/>
          <w:b/>
          <w:sz w:val="24"/>
          <w:szCs w:val="24"/>
          <w:lang w:val="en-US"/>
        </w:rPr>
        <w:t>Situation analysis at the beginning of 2017:</w:t>
      </w:r>
    </w:p>
    <w:p w14:paraId="1025B0D9" w14:textId="0B28B3AF" w:rsidR="00BA4150" w:rsidRPr="008D220A" w:rsidRDefault="00B02D45" w:rsidP="006C12F7">
      <w:pPr>
        <w:jc w:val="both"/>
        <w:rPr>
          <w:rFonts w:ascii="Arial" w:hAnsi="Arial" w:cs="Arial"/>
          <w:lang w:val="en-US" w:eastAsia="ru-RU"/>
        </w:rPr>
      </w:pPr>
      <w:r w:rsidRPr="008D220A">
        <w:rPr>
          <w:rFonts w:ascii="Arial" w:hAnsi="Arial" w:cs="Arial"/>
          <w:sz w:val="24"/>
          <w:szCs w:val="24"/>
          <w:lang w:val="en-US"/>
        </w:rPr>
        <w:t>With little exception, there is no separate bioenergy regulatory framework – bioenergy is developed within renewable (</w:t>
      </w:r>
      <w:r w:rsidR="00BA4150" w:rsidRPr="008D220A">
        <w:rPr>
          <w:rFonts w:ascii="Arial" w:hAnsi="Arial" w:cs="Arial"/>
          <w:sz w:val="24"/>
          <w:szCs w:val="24"/>
          <w:lang w:val="en-US"/>
        </w:rPr>
        <w:t xml:space="preserve">or </w:t>
      </w:r>
      <w:r w:rsidRPr="008D220A">
        <w:rPr>
          <w:rFonts w:ascii="Arial" w:hAnsi="Arial" w:cs="Arial"/>
          <w:sz w:val="24"/>
          <w:szCs w:val="24"/>
          <w:lang w:val="en-US"/>
        </w:rPr>
        <w:t>alternative</w:t>
      </w:r>
      <w:r w:rsidR="00BA4150" w:rsidRPr="008D220A">
        <w:rPr>
          <w:rFonts w:ascii="Arial" w:hAnsi="Arial" w:cs="Arial"/>
          <w:sz w:val="24"/>
          <w:szCs w:val="24"/>
          <w:lang w:val="en-US"/>
        </w:rPr>
        <w:t xml:space="preserve"> – more frequently used term in Ukrainian legislation</w:t>
      </w:r>
      <w:r w:rsidRPr="008D220A">
        <w:rPr>
          <w:rFonts w:ascii="Arial" w:hAnsi="Arial" w:cs="Arial"/>
          <w:sz w:val="24"/>
          <w:szCs w:val="24"/>
          <w:lang w:val="en-US"/>
        </w:rPr>
        <w:t>) energy framework and included in renewable energy targets. The use of biomass for municipal energy purposes is regulated by numerous (in total over 100) heating-related and municipal services (housing and utilities) related laws, making it a</w:t>
      </w:r>
      <w:r w:rsidR="007711CC" w:rsidRPr="008D220A">
        <w:rPr>
          <w:rFonts w:ascii="Arial" w:hAnsi="Arial" w:cs="Arial"/>
          <w:sz w:val="24"/>
          <w:szCs w:val="24"/>
          <w:lang w:val="en-US"/>
        </w:rPr>
        <w:t xml:space="preserve"> </w:t>
      </w:r>
      <w:r w:rsidRPr="008D220A">
        <w:rPr>
          <w:rFonts w:ascii="Arial" w:hAnsi="Arial" w:cs="Arial"/>
          <w:sz w:val="24"/>
          <w:szCs w:val="24"/>
          <w:lang w:val="en-US"/>
        </w:rPr>
        <w:t>lengthy process to bring changes as amendments and improvements are required to many laws</w:t>
      </w:r>
      <w:r w:rsidR="00772BA4" w:rsidRPr="008D220A">
        <w:rPr>
          <w:rFonts w:ascii="Arial" w:hAnsi="Arial" w:cs="Arial"/>
          <w:sz w:val="24"/>
          <w:szCs w:val="24"/>
          <w:lang w:val="en-US"/>
        </w:rPr>
        <w:t xml:space="preserve">. </w:t>
      </w:r>
      <w:r w:rsidR="007711CC" w:rsidRPr="008D220A">
        <w:rPr>
          <w:rFonts w:ascii="Arial" w:hAnsi="Arial" w:cs="Arial"/>
          <w:sz w:val="24"/>
          <w:szCs w:val="24"/>
          <w:lang w:val="en-US"/>
        </w:rPr>
        <w:t>Moreover, t</w:t>
      </w:r>
      <w:r w:rsidR="007711CC" w:rsidRPr="008D220A">
        <w:rPr>
          <w:rFonts w:ascii="Arial" w:hAnsi="Arial" w:cs="Arial"/>
          <w:sz w:val="24"/>
          <w:szCs w:val="24"/>
          <w:lang w:val="en-US" w:eastAsia="ru-RU"/>
        </w:rPr>
        <w:t xml:space="preserve">he "average" time to have the law enacted (to pass in </w:t>
      </w:r>
      <w:r w:rsidR="00BA4150" w:rsidRPr="008D220A">
        <w:rPr>
          <w:rFonts w:ascii="Arial" w:hAnsi="Arial" w:cs="Arial"/>
          <w:sz w:val="24"/>
          <w:szCs w:val="24"/>
          <w:lang w:val="en-US" w:eastAsia="ru-RU"/>
        </w:rPr>
        <w:t>Parliament</w:t>
      </w:r>
      <w:r w:rsidR="007711CC" w:rsidRPr="008D220A">
        <w:rPr>
          <w:rFonts w:ascii="Arial" w:hAnsi="Arial" w:cs="Arial"/>
          <w:sz w:val="24"/>
          <w:szCs w:val="24"/>
          <w:lang w:val="en-US" w:eastAsia="ru-RU"/>
        </w:rPr>
        <w:t>) is about 1-1,5</w:t>
      </w:r>
      <w:r w:rsidR="00BA4150" w:rsidRPr="008D220A">
        <w:rPr>
          <w:rFonts w:ascii="Arial" w:hAnsi="Arial" w:cs="Arial"/>
          <w:sz w:val="24"/>
          <w:szCs w:val="24"/>
          <w:lang w:val="en-US" w:eastAsia="ru-RU"/>
        </w:rPr>
        <w:t xml:space="preserve"> years</w:t>
      </w:r>
      <w:r w:rsidR="00B81259" w:rsidRPr="008D220A">
        <w:rPr>
          <w:rFonts w:ascii="Arial" w:hAnsi="Arial" w:cs="Arial"/>
          <w:sz w:val="24"/>
          <w:szCs w:val="24"/>
          <w:lang w:val="en-US" w:eastAsia="ru-RU"/>
        </w:rPr>
        <w:t>,</w:t>
      </w:r>
      <w:r w:rsidR="00BA4150" w:rsidRPr="008D220A">
        <w:rPr>
          <w:rFonts w:ascii="Arial" w:hAnsi="Arial" w:cs="Arial"/>
          <w:sz w:val="24"/>
          <w:szCs w:val="24"/>
          <w:lang w:val="en-US" w:eastAsia="ru-RU"/>
        </w:rPr>
        <w:t xml:space="preserve"> and in some cases events </w:t>
      </w:r>
      <w:r w:rsidR="00B81259" w:rsidRPr="008D220A">
        <w:rPr>
          <w:rFonts w:ascii="Arial" w:hAnsi="Arial" w:cs="Arial"/>
          <w:sz w:val="24"/>
          <w:szCs w:val="24"/>
          <w:lang w:val="en-US" w:eastAsia="ru-RU"/>
        </w:rPr>
        <w:t>can overtake</w:t>
      </w:r>
      <w:r w:rsidR="00BA4150" w:rsidRPr="008D220A">
        <w:rPr>
          <w:rFonts w:ascii="Arial" w:hAnsi="Arial" w:cs="Arial"/>
          <w:sz w:val="24"/>
          <w:szCs w:val="24"/>
          <w:lang w:val="en-US" w:eastAsia="ru-RU"/>
        </w:rPr>
        <w:t xml:space="preserve"> the original intent or purpose.</w:t>
      </w:r>
    </w:p>
    <w:p w14:paraId="7042C510" w14:textId="77777777" w:rsidR="00811AA7" w:rsidRPr="008D220A" w:rsidRDefault="00811AA7" w:rsidP="00811AA7">
      <w:pPr>
        <w:pStyle w:val="rvps2"/>
        <w:spacing w:before="0" w:beforeAutospacing="0" w:after="0" w:afterAutospacing="0"/>
        <w:jc w:val="both"/>
        <w:rPr>
          <w:rFonts w:ascii="Arial" w:hAnsi="Arial" w:cs="Arial"/>
          <w:shd w:val="clear" w:color="auto" w:fill="FFFFFF"/>
        </w:rPr>
      </w:pPr>
    </w:p>
    <w:p w14:paraId="378794EF" w14:textId="777D0403" w:rsidR="00246C15" w:rsidRPr="008D220A" w:rsidRDefault="00811AA7" w:rsidP="001725CE">
      <w:pPr>
        <w:pStyle w:val="rvps2"/>
        <w:spacing w:before="0" w:beforeAutospacing="0" w:after="0" w:afterAutospacing="0"/>
        <w:jc w:val="both"/>
        <w:rPr>
          <w:rFonts w:ascii="Arial" w:hAnsi="Arial" w:cs="Arial"/>
          <w:i/>
          <w:shd w:val="clear" w:color="auto" w:fill="FFFFFF"/>
        </w:rPr>
      </w:pPr>
      <w:r w:rsidRPr="008D220A">
        <w:rPr>
          <w:rFonts w:ascii="Arial" w:hAnsi="Arial" w:cs="Arial"/>
          <w:shd w:val="clear" w:color="auto" w:fill="FFFFFF"/>
        </w:rPr>
        <w:t xml:space="preserve">The process of legal/regulatory framework review has started by the project in 2015. During 2015 a team of 12 project’s experts thoroughly analyzed the existing legal framework regulating </w:t>
      </w:r>
      <w:r w:rsidRPr="008D220A">
        <w:rPr>
          <w:rFonts w:ascii="Arial" w:hAnsi="Arial" w:cs="Arial"/>
          <w:shd w:val="clear" w:color="auto" w:fill="FFFFFF"/>
        </w:rPr>
        <w:lastRenderedPageBreak/>
        <w:t xml:space="preserve">bioenergy utilization in the municipal sector in Ukraine, as well as the EU Energy Directives to be implemented in Ukraine. As an outcome </w:t>
      </w:r>
      <w:r w:rsidRPr="008D220A">
        <w:rPr>
          <w:rFonts w:ascii="Arial" w:hAnsi="Arial" w:cs="Arial"/>
        </w:rPr>
        <w:t xml:space="preserve">substantive </w:t>
      </w:r>
      <w:r w:rsidRPr="008D220A">
        <w:rPr>
          <w:rFonts w:ascii="Arial" w:hAnsi="Arial" w:cs="Arial"/>
          <w:shd w:val="clear" w:color="auto" w:fill="FFFFFF"/>
        </w:rPr>
        <w:t>changes/amendments to the selected current legislation to support utilization of bioenergy technologies for heat and hot water supply in the municipal sector</w:t>
      </w:r>
      <w:r w:rsidR="00703195" w:rsidRPr="008D220A">
        <w:rPr>
          <w:rFonts w:ascii="Arial" w:hAnsi="Arial" w:cs="Arial"/>
          <w:shd w:val="clear" w:color="auto" w:fill="FFFFFF"/>
        </w:rPr>
        <w:t xml:space="preserve"> have been suggested and submitted to </w:t>
      </w:r>
      <w:r w:rsidRPr="008D220A">
        <w:rPr>
          <w:rFonts w:ascii="Arial" w:hAnsi="Arial" w:cs="Arial"/>
          <w:shd w:val="clear" w:color="auto" w:fill="FFFFFF"/>
        </w:rPr>
        <w:t>the Ministry of Regional Development, Construction, Housing and Communal Services and State Agency on Energy Efficiency and Energy Saving of Ukraine</w:t>
      </w:r>
      <w:r w:rsidR="00703195" w:rsidRPr="008D220A">
        <w:rPr>
          <w:rFonts w:ascii="Arial" w:hAnsi="Arial" w:cs="Arial"/>
          <w:shd w:val="clear" w:color="auto" w:fill="FFFFFF"/>
        </w:rPr>
        <w:t xml:space="preserve"> in a form of 8 draft laws. </w:t>
      </w:r>
      <w:r w:rsidR="00246C15" w:rsidRPr="008D220A">
        <w:rPr>
          <w:rFonts w:ascii="Arial" w:hAnsi="Arial" w:cs="Arial"/>
          <w:shd w:val="clear" w:color="auto" w:fill="FFFFFF"/>
        </w:rPr>
        <w:t xml:space="preserve">Specifically, amendments were proposed to the following laws: </w:t>
      </w:r>
      <w:r w:rsidR="00246C15" w:rsidRPr="008D220A">
        <w:rPr>
          <w:rFonts w:ascii="Arial" w:hAnsi="Arial" w:cs="Arial"/>
          <w:u w:val="single"/>
          <w:shd w:val="clear" w:color="auto" w:fill="FFFFFF"/>
        </w:rPr>
        <w:t>the Budget Code of Ukraine,</w:t>
      </w:r>
      <w:r w:rsidR="00246C15" w:rsidRPr="008D220A">
        <w:rPr>
          <w:rFonts w:ascii="Arial" w:hAnsi="Arial" w:cs="Arial"/>
          <w:shd w:val="clear" w:color="auto" w:fill="FFFFFF"/>
        </w:rPr>
        <w:t xml:space="preserve"> </w:t>
      </w:r>
      <w:r w:rsidR="00246C15" w:rsidRPr="008D220A">
        <w:rPr>
          <w:rFonts w:ascii="Arial" w:hAnsi="Arial" w:cs="Arial"/>
          <w:u w:val="single"/>
          <w:shd w:val="clear" w:color="auto" w:fill="FFFFFF"/>
        </w:rPr>
        <w:t xml:space="preserve">the Law of Ukraine «On energy saving», the Law of Ukraine «On heat supply», the Law of Ukraine «On </w:t>
      </w:r>
      <w:r w:rsidR="00246C15" w:rsidRPr="008D220A">
        <w:rPr>
          <w:rFonts w:ascii="Arial" w:hAnsi="Arial" w:cs="Arial"/>
          <w:u w:val="single"/>
        </w:rPr>
        <w:t>alternative energy sources</w:t>
      </w:r>
      <w:r w:rsidR="00246C15" w:rsidRPr="008D220A">
        <w:rPr>
          <w:rFonts w:ascii="Arial" w:hAnsi="Arial" w:cs="Arial"/>
          <w:u w:val="single"/>
          <w:shd w:val="clear" w:color="auto" w:fill="FFFFFF"/>
        </w:rPr>
        <w:t xml:space="preserve">», </w:t>
      </w:r>
      <w:r w:rsidR="00AC501B" w:rsidRPr="008D220A">
        <w:rPr>
          <w:rFonts w:ascii="Arial" w:hAnsi="Arial" w:cs="Arial"/>
          <w:u w:val="single"/>
          <w:shd w:val="clear" w:color="auto" w:fill="FFFFFF"/>
        </w:rPr>
        <w:t>the Law of Ukraine «On housing and communal services», the Law of Ukraine «On the priority of social development of villages (rural areas) and agricultural sector in the national economy», the «Energy Strategy of Ukraine for the period until 2030», the «</w:t>
      </w:r>
      <w:r w:rsidR="00AC501B" w:rsidRPr="008D220A">
        <w:rPr>
          <w:rFonts w:ascii="Arial" w:hAnsi="Arial" w:cs="Arial"/>
          <w:bCs/>
          <w:u w:val="single"/>
          <w:shd w:val="clear" w:color="auto" w:fill="FFFFFF"/>
        </w:rPr>
        <w:t>National Renewable Energy Action Plan until 2020</w:t>
      </w:r>
      <w:r w:rsidR="00AC501B" w:rsidRPr="008D220A">
        <w:rPr>
          <w:rFonts w:ascii="Arial" w:hAnsi="Arial" w:cs="Arial"/>
          <w:u w:val="single"/>
          <w:shd w:val="clear" w:color="auto" w:fill="FFFFFF"/>
        </w:rPr>
        <w:t>»</w:t>
      </w:r>
      <w:r w:rsidR="00C61DFC" w:rsidRPr="008D220A">
        <w:rPr>
          <w:rFonts w:ascii="Arial" w:hAnsi="Arial" w:cs="Arial"/>
          <w:u w:val="single"/>
          <w:shd w:val="clear" w:color="auto" w:fill="FFFFFF"/>
        </w:rPr>
        <w:t xml:space="preserve"> (</w:t>
      </w:r>
      <w:r w:rsidR="00C61DFC" w:rsidRPr="008D220A">
        <w:rPr>
          <w:rFonts w:ascii="Arial" w:hAnsi="Arial" w:cs="Arial"/>
          <w:i/>
          <w:u w:val="single"/>
          <w:shd w:val="clear" w:color="auto" w:fill="FFFFFF"/>
        </w:rPr>
        <w:t xml:space="preserve">please see Project Annual Reports 2015 and 2016 for details). </w:t>
      </w:r>
    </w:p>
    <w:p w14:paraId="754C82E6" w14:textId="77777777" w:rsidR="00246C15" w:rsidRPr="008D220A" w:rsidRDefault="00246C15" w:rsidP="00246C15">
      <w:pPr>
        <w:pStyle w:val="rvps2"/>
        <w:spacing w:before="0" w:beforeAutospacing="0" w:after="0" w:afterAutospacing="0"/>
        <w:jc w:val="both"/>
        <w:rPr>
          <w:rFonts w:ascii="Arial" w:hAnsi="Arial" w:cs="Arial"/>
          <w:shd w:val="clear" w:color="auto" w:fill="FFFFFF"/>
        </w:rPr>
      </w:pPr>
    </w:p>
    <w:p w14:paraId="33FE9C7C" w14:textId="16518B75" w:rsidR="00951039" w:rsidRPr="008D220A" w:rsidRDefault="0078788A" w:rsidP="00811AA7">
      <w:pPr>
        <w:pStyle w:val="rvps2"/>
        <w:spacing w:before="0" w:beforeAutospacing="0" w:after="0" w:afterAutospacing="0"/>
        <w:jc w:val="both"/>
        <w:rPr>
          <w:rFonts w:ascii="Arial" w:hAnsi="Arial" w:cs="Arial"/>
        </w:rPr>
      </w:pPr>
      <w:r w:rsidRPr="008D220A">
        <w:rPr>
          <w:rFonts w:ascii="Arial" w:hAnsi="Arial" w:cs="Arial"/>
          <w:shd w:val="clear" w:color="auto" w:fill="FFFFFF"/>
        </w:rPr>
        <w:t xml:space="preserve">Further, amendments proposed by the Project served as groundwork for </w:t>
      </w:r>
      <w:r w:rsidR="00002E20" w:rsidRPr="008D220A">
        <w:rPr>
          <w:rFonts w:ascii="Arial" w:hAnsi="Arial" w:cs="Arial"/>
          <w:shd w:val="clear" w:color="auto" w:fill="FFFFFF"/>
        </w:rPr>
        <w:t xml:space="preserve">draft laws submitted to the parliament for consideration. Here a brief insight into Ukrainian lawmaking is necessary: </w:t>
      </w:r>
      <w:r w:rsidR="00951039" w:rsidRPr="008D220A">
        <w:rPr>
          <w:rFonts w:ascii="Arial" w:hAnsi="Arial" w:cs="Arial"/>
          <w:lang w:eastAsia="ru-RU"/>
        </w:rPr>
        <w:t>a</w:t>
      </w:r>
      <w:r w:rsidRPr="008D220A">
        <w:rPr>
          <w:rFonts w:ascii="Arial" w:hAnsi="Arial" w:cs="Arial"/>
          <w:lang w:eastAsia="ru-RU"/>
        </w:rPr>
        <w:t>ccording to the Constitution, the President, the Members of Parliament, and the Cabinet of Ministries of Ukraine have the right of the legi</w:t>
      </w:r>
      <w:r w:rsidR="00951039" w:rsidRPr="008D220A">
        <w:rPr>
          <w:rFonts w:ascii="Arial" w:hAnsi="Arial" w:cs="Arial"/>
          <w:lang w:eastAsia="ru-RU"/>
        </w:rPr>
        <w:t xml:space="preserve">slative initiative. </w:t>
      </w:r>
      <w:r w:rsidRPr="008D220A">
        <w:rPr>
          <w:rFonts w:ascii="Arial" w:hAnsi="Arial" w:cs="Arial"/>
          <w:lang w:eastAsia="ru-RU"/>
        </w:rPr>
        <w:t xml:space="preserve">The law adopted by the Verkhovna Rada </w:t>
      </w:r>
      <w:r w:rsidR="00CF5FAC" w:rsidRPr="008D220A">
        <w:rPr>
          <w:rFonts w:ascii="Arial" w:hAnsi="Arial" w:cs="Arial"/>
          <w:lang w:eastAsia="ru-RU"/>
        </w:rPr>
        <w:t xml:space="preserve">(Ukrainian Parliament) </w:t>
      </w:r>
      <w:r w:rsidRPr="008D220A">
        <w:rPr>
          <w:rFonts w:ascii="Arial" w:hAnsi="Arial" w:cs="Arial"/>
          <w:lang w:eastAsia="ru-RU"/>
        </w:rPr>
        <w:t>goes to the President for signing and further official publication. The President may either sign the new law, or use the right of veto and return it to the Verkhovna Rada with propositions for additional considerations. The Verkhovna Rada may overrule the President’s veto by two-thirds of constitutional membership.</w:t>
      </w:r>
      <w:r w:rsidR="00CF5FAC" w:rsidRPr="008D220A">
        <w:rPr>
          <w:rFonts w:ascii="Arial" w:hAnsi="Arial" w:cs="Arial"/>
          <w:lang w:eastAsia="ru-RU"/>
        </w:rPr>
        <w:t xml:space="preserve"> </w:t>
      </w:r>
      <w:r w:rsidRPr="008D220A">
        <w:rPr>
          <w:rFonts w:ascii="Arial" w:hAnsi="Arial" w:cs="Arial"/>
          <w:lang w:eastAsia="ru-RU"/>
        </w:rPr>
        <w:t>The law comes into force in ten days after the date of its official publication (unless otherwise stipulated by the law)</w:t>
      </w:r>
      <w:r w:rsidR="00951039" w:rsidRPr="008D220A">
        <w:rPr>
          <w:rFonts w:ascii="Arial" w:hAnsi="Arial" w:cs="Arial"/>
          <w:lang w:eastAsia="ru-RU"/>
        </w:rPr>
        <w:t>.</w:t>
      </w:r>
      <w:r w:rsidR="00D947F1" w:rsidRPr="008D220A">
        <w:rPr>
          <w:rFonts w:ascii="Arial" w:hAnsi="Arial" w:cs="Arial"/>
        </w:rPr>
        <w:t xml:space="preserve"> </w:t>
      </w:r>
      <w:r w:rsidR="00951039" w:rsidRPr="008D220A">
        <w:rPr>
          <w:rFonts w:ascii="Arial" w:hAnsi="Arial" w:cs="Arial"/>
        </w:rPr>
        <w:t xml:space="preserve">Therefore </w:t>
      </w:r>
      <w:r w:rsidR="00AD578D" w:rsidRPr="008D220A">
        <w:rPr>
          <w:rFonts w:ascii="Arial" w:hAnsi="Arial" w:cs="Arial"/>
        </w:rPr>
        <w:t>in various project reports we</w:t>
      </w:r>
      <w:r w:rsidR="00951039" w:rsidRPr="008D220A">
        <w:rPr>
          <w:rFonts w:ascii="Arial" w:hAnsi="Arial" w:cs="Arial"/>
        </w:rPr>
        <w:t xml:space="preserve"> see that various </w:t>
      </w:r>
      <w:r w:rsidR="00AD578D" w:rsidRPr="008D220A">
        <w:rPr>
          <w:rFonts w:ascii="Arial" w:hAnsi="Arial" w:cs="Arial"/>
        </w:rPr>
        <w:t xml:space="preserve">draft laws </w:t>
      </w:r>
      <w:r w:rsidR="00CF5FAC" w:rsidRPr="008D220A">
        <w:rPr>
          <w:rFonts w:ascii="Arial" w:hAnsi="Arial" w:cs="Arial"/>
        </w:rPr>
        <w:t xml:space="preserve">containing the Project recommendations </w:t>
      </w:r>
      <w:r w:rsidR="00AD578D" w:rsidRPr="008D220A">
        <w:rPr>
          <w:rFonts w:ascii="Arial" w:hAnsi="Arial" w:cs="Arial"/>
        </w:rPr>
        <w:t>were introduced into the parliament</w:t>
      </w:r>
      <w:r w:rsidR="00CF5FAC" w:rsidRPr="008D220A">
        <w:rPr>
          <w:rFonts w:ascii="Arial" w:hAnsi="Arial" w:cs="Arial"/>
        </w:rPr>
        <w:t>.</w:t>
      </w:r>
      <w:r w:rsidR="00206ADE" w:rsidRPr="008D220A">
        <w:rPr>
          <w:rFonts w:ascii="Arial" w:hAnsi="Arial" w:cs="Arial"/>
        </w:rPr>
        <w:t xml:space="preserve"> Once</w:t>
      </w:r>
      <w:r w:rsidR="00CF5FAC" w:rsidRPr="008D220A">
        <w:rPr>
          <w:rFonts w:ascii="Arial" w:hAnsi="Arial" w:cs="Arial"/>
        </w:rPr>
        <w:t xml:space="preserve"> adopted</w:t>
      </w:r>
      <w:r w:rsidR="00206ADE" w:rsidRPr="008D220A">
        <w:rPr>
          <w:rFonts w:ascii="Arial" w:hAnsi="Arial" w:cs="Arial"/>
        </w:rPr>
        <w:t xml:space="preserve"> and signed by the President,</w:t>
      </w:r>
      <w:r w:rsidR="00CF5FAC" w:rsidRPr="008D220A">
        <w:rPr>
          <w:rFonts w:ascii="Arial" w:hAnsi="Arial" w:cs="Arial"/>
        </w:rPr>
        <w:t xml:space="preserve"> these drafts </w:t>
      </w:r>
      <w:r w:rsidR="00206ADE" w:rsidRPr="008D220A">
        <w:rPr>
          <w:rFonts w:ascii="Arial" w:hAnsi="Arial" w:cs="Arial"/>
        </w:rPr>
        <w:t>are assigned a new number and sometimes a new title.</w:t>
      </w:r>
      <w:r w:rsidR="00CF5FAC" w:rsidRPr="008D220A">
        <w:rPr>
          <w:rFonts w:ascii="Arial" w:hAnsi="Arial" w:cs="Arial"/>
        </w:rPr>
        <w:t xml:space="preserve"> In some cases the law </w:t>
      </w:r>
      <w:r w:rsidR="00D947F1" w:rsidRPr="008D220A">
        <w:rPr>
          <w:rFonts w:ascii="Arial" w:hAnsi="Arial" w:cs="Arial"/>
        </w:rPr>
        <w:t xml:space="preserve">was </w:t>
      </w:r>
      <w:r w:rsidR="00CF5FAC" w:rsidRPr="008D220A">
        <w:rPr>
          <w:rFonts w:ascii="Arial" w:hAnsi="Arial" w:cs="Arial"/>
        </w:rPr>
        <w:t xml:space="preserve">adopted by the Parliament but </w:t>
      </w:r>
      <w:r w:rsidR="00D947F1" w:rsidRPr="008D220A">
        <w:rPr>
          <w:rFonts w:ascii="Arial" w:hAnsi="Arial" w:cs="Arial"/>
        </w:rPr>
        <w:t xml:space="preserve">has </w:t>
      </w:r>
      <w:r w:rsidR="00CF5FAC" w:rsidRPr="008D220A">
        <w:rPr>
          <w:rFonts w:ascii="Arial" w:hAnsi="Arial" w:cs="Arial"/>
        </w:rPr>
        <w:t xml:space="preserve">awaited the President signature for quite a long while. </w:t>
      </w:r>
    </w:p>
    <w:p w14:paraId="3700081E" w14:textId="77777777" w:rsidR="00D947F1" w:rsidRPr="008D220A" w:rsidRDefault="00D947F1" w:rsidP="00811AA7">
      <w:pPr>
        <w:pStyle w:val="rvps2"/>
        <w:spacing w:before="0" w:beforeAutospacing="0" w:after="0" w:afterAutospacing="0"/>
        <w:jc w:val="both"/>
        <w:rPr>
          <w:rFonts w:ascii="Arial" w:hAnsi="Arial" w:cs="Arial"/>
        </w:rPr>
      </w:pPr>
    </w:p>
    <w:p w14:paraId="1744496F" w14:textId="75F51C7D" w:rsidR="00D947F1" w:rsidRPr="008D220A" w:rsidRDefault="00D947F1" w:rsidP="00811AA7">
      <w:pPr>
        <w:pStyle w:val="rvps2"/>
        <w:spacing w:before="0" w:beforeAutospacing="0" w:after="0" w:afterAutospacing="0"/>
        <w:jc w:val="both"/>
        <w:rPr>
          <w:rFonts w:ascii="Arial" w:hAnsi="Arial" w:cs="Arial"/>
        </w:rPr>
      </w:pPr>
      <w:r w:rsidRPr="008D220A">
        <w:rPr>
          <w:rFonts w:ascii="Arial" w:hAnsi="Arial" w:cs="Arial"/>
        </w:rPr>
        <w:t xml:space="preserve">It is also worth mentioning that the majority of energy-related laws have been introduced into the Parliament by a group of people’s deputies (members of Parliament) rather than by the Government, therefore cooperation with Parliamentary committees is </w:t>
      </w:r>
      <w:r w:rsidR="00306F93" w:rsidRPr="008D220A">
        <w:rPr>
          <w:rFonts w:ascii="Arial" w:hAnsi="Arial" w:cs="Arial"/>
        </w:rPr>
        <w:t>of utmost</w:t>
      </w:r>
      <w:r w:rsidRPr="008D220A">
        <w:rPr>
          <w:rFonts w:ascii="Arial" w:hAnsi="Arial" w:cs="Arial"/>
        </w:rPr>
        <w:t xml:space="preserve"> </w:t>
      </w:r>
      <w:r w:rsidR="00306F93" w:rsidRPr="008D220A">
        <w:rPr>
          <w:rFonts w:ascii="Arial" w:hAnsi="Arial" w:cs="Arial"/>
        </w:rPr>
        <w:t>importance.</w:t>
      </w:r>
      <w:r w:rsidR="00760CE3" w:rsidRPr="008D220A">
        <w:rPr>
          <w:rFonts w:ascii="Arial" w:hAnsi="Arial" w:cs="Arial"/>
        </w:rPr>
        <w:t xml:space="preserve"> The Project cooperates with </w:t>
      </w:r>
      <w:r w:rsidR="00AF76A3" w:rsidRPr="008D220A">
        <w:rPr>
          <w:rFonts w:ascii="Arial" w:hAnsi="Arial" w:cs="Arial"/>
        </w:rPr>
        <w:t xml:space="preserve">the </w:t>
      </w:r>
      <w:r w:rsidR="005238BA" w:rsidRPr="008D220A">
        <w:rPr>
          <w:rFonts w:ascii="Arial" w:hAnsi="Arial" w:cs="Arial"/>
          <w:spacing w:val="-4"/>
          <w:lang w:val="en-GB"/>
        </w:rPr>
        <w:t>Parliamentary</w:t>
      </w:r>
      <w:r w:rsidR="005238BA" w:rsidRPr="008D220A">
        <w:rPr>
          <w:rFonts w:ascii="Arial" w:hAnsi="Arial" w:cs="Arial"/>
          <w:spacing w:val="-4"/>
          <w:lang w:val="uk-UA"/>
        </w:rPr>
        <w:t xml:space="preserve"> </w:t>
      </w:r>
      <w:r w:rsidR="005238BA" w:rsidRPr="008D220A">
        <w:rPr>
          <w:rFonts w:ascii="Arial" w:hAnsi="Arial" w:cs="Arial"/>
          <w:spacing w:val="-4"/>
          <w:lang w:val="en-GB"/>
        </w:rPr>
        <w:t>Committee</w:t>
      </w:r>
      <w:r w:rsidR="005238BA" w:rsidRPr="008D220A">
        <w:rPr>
          <w:rFonts w:ascii="Arial" w:hAnsi="Arial" w:cs="Arial"/>
          <w:spacing w:val="-4"/>
          <w:lang w:val="uk-UA"/>
        </w:rPr>
        <w:t xml:space="preserve"> </w:t>
      </w:r>
      <w:r w:rsidR="005238BA" w:rsidRPr="008D220A">
        <w:rPr>
          <w:rFonts w:ascii="Arial" w:hAnsi="Arial" w:cs="Arial"/>
          <w:spacing w:val="-4"/>
          <w:lang w:val="en-GB"/>
        </w:rPr>
        <w:t>on</w:t>
      </w:r>
      <w:r w:rsidR="005238BA" w:rsidRPr="008D220A">
        <w:rPr>
          <w:rFonts w:ascii="Arial" w:hAnsi="Arial" w:cs="Arial"/>
          <w:spacing w:val="-4"/>
          <w:lang w:val="uk-UA"/>
        </w:rPr>
        <w:t xml:space="preserve"> </w:t>
      </w:r>
      <w:r w:rsidR="005238BA" w:rsidRPr="008D220A">
        <w:rPr>
          <w:rFonts w:ascii="Arial" w:hAnsi="Arial" w:cs="Arial"/>
          <w:spacing w:val="-4"/>
          <w:lang w:val="en-GB"/>
        </w:rPr>
        <w:t>Environmental</w:t>
      </w:r>
      <w:r w:rsidR="005238BA" w:rsidRPr="008D220A">
        <w:rPr>
          <w:rFonts w:ascii="Arial" w:hAnsi="Arial" w:cs="Arial"/>
          <w:spacing w:val="-4"/>
          <w:lang w:val="uk-UA"/>
        </w:rPr>
        <w:t xml:space="preserve"> </w:t>
      </w:r>
      <w:r w:rsidR="005238BA" w:rsidRPr="008D220A">
        <w:rPr>
          <w:rFonts w:ascii="Arial" w:hAnsi="Arial" w:cs="Arial"/>
          <w:spacing w:val="-4"/>
          <w:lang w:val="en-GB"/>
        </w:rPr>
        <w:t>Policy</w:t>
      </w:r>
      <w:r w:rsidR="005238BA" w:rsidRPr="008D220A">
        <w:rPr>
          <w:rFonts w:ascii="Arial" w:hAnsi="Arial" w:cs="Arial"/>
          <w:spacing w:val="-4"/>
          <w:lang w:val="uk-UA"/>
        </w:rPr>
        <w:t xml:space="preserve">, </w:t>
      </w:r>
      <w:r w:rsidR="005238BA" w:rsidRPr="008D220A">
        <w:rPr>
          <w:rFonts w:ascii="Arial" w:hAnsi="Arial" w:cs="Arial"/>
          <w:spacing w:val="-4"/>
          <w:lang w:val="en-GB"/>
        </w:rPr>
        <w:t>Nature</w:t>
      </w:r>
      <w:r w:rsidR="005238BA" w:rsidRPr="008D220A">
        <w:rPr>
          <w:rFonts w:ascii="Arial" w:hAnsi="Arial" w:cs="Arial"/>
          <w:spacing w:val="-4"/>
          <w:lang w:val="uk-UA"/>
        </w:rPr>
        <w:t xml:space="preserve"> </w:t>
      </w:r>
      <w:r w:rsidR="005238BA" w:rsidRPr="008D220A">
        <w:rPr>
          <w:rFonts w:ascii="Arial" w:hAnsi="Arial" w:cs="Arial"/>
          <w:spacing w:val="-4"/>
          <w:lang w:val="en-GB"/>
        </w:rPr>
        <w:t>Resources</w:t>
      </w:r>
      <w:r w:rsidR="005238BA" w:rsidRPr="008D220A">
        <w:rPr>
          <w:rFonts w:ascii="Arial" w:hAnsi="Arial" w:cs="Arial"/>
          <w:spacing w:val="-4"/>
          <w:lang w:val="uk-UA"/>
        </w:rPr>
        <w:t xml:space="preserve"> </w:t>
      </w:r>
      <w:r w:rsidR="005238BA" w:rsidRPr="008D220A">
        <w:rPr>
          <w:rFonts w:ascii="Arial" w:hAnsi="Arial" w:cs="Arial"/>
          <w:spacing w:val="-4"/>
          <w:lang w:val="en-GB"/>
        </w:rPr>
        <w:t>Utilization</w:t>
      </w:r>
      <w:r w:rsidR="005238BA" w:rsidRPr="008D220A">
        <w:rPr>
          <w:rFonts w:ascii="Arial" w:hAnsi="Arial" w:cs="Arial"/>
          <w:spacing w:val="-4"/>
          <w:lang w:val="uk-UA"/>
        </w:rPr>
        <w:t xml:space="preserve"> </w:t>
      </w:r>
      <w:r w:rsidR="005238BA" w:rsidRPr="008D220A">
        <w:rPr>
          <w:rFonts w:ascii="Arial" w:hAnsi="Arial" w:cs="Arial"/>
          <w:spacing w:val="-4"/>
          <w:lang w:val="en-GB"/>
        </w:rPr>
        <w:t>and</w:t>
      </w:r>
      <w:r w:rsidR="005238BA" w:rsidRPr="008D220A">
        <w:rPr>
          <w:rFonts w:ascii="Arial" w:hAnsi="Arial" w:cs="Arial"/>
          <w:spacing w:val="-4"/>
          <w:lang w:val="uk-UA"/>
        </w:rPr>
        <w:t xml:space="preserve"> </w:t>
      </w:r>
      <w:r w:rsidR="005238BA" w:rsidRPr="008D220A">
        <w:rPr>
          <w:rFonts w:ascii="Arial" w:hAnsi="Arial" w:cs="Arial"/>
          <w:spacing w:val="-4"/>
          <w:lang w:val="en-GB"/>
        </w:rPr>
        <w:t>Elimination</w:t>
      </w:r>
      <w:r w:rsidR="005238BA" w:rsidRPr="008D220A">
        <w:rPr>
          <w:rFonts w:ascii="Arial" w:hAnsi="Arial" w:cs="Arial"/>
          <w:spacing w:val="-4"/>
          <w:lang w:val="uk-UA"/>
        </w:rPr>
        <w:t xml:space="preserve"> </w:t>
      </w:r>
      <w:r w:rsidR="005238BA" w:rsidRPr="008D220A">
        <w:rPr>
          <w:rFonts w:ascii="Arial" w:hAnsi="Arial" w:cs="Arial"/>
          <w:spacing w:val="-4"/>
          <w:lang w:val="en-GB"/>
        </w:rPr>
        <w:t>of</w:t>
      </w:r>
      <w:r w:rsidR="005238BA" w:rsidRPr="008D220A">
        <w:rPr>
          <w:rFonts w:ascii="Arial" w:hAnsi="Arial" w:cs="Arial"/>
          <w:spacing w:val="-4"/>
          <w:lang w:val="uk-UA"/>
        </w:rPr>
        <w:t xml:space="preserve"> </w:t>
      </w:r>
      <w:r w:rsidR="005238BA" w:rsidRPr="008D220A">
        <w:rPr>
          <w:rFonts w:ascii="Arial" w:hAnsi="Arial" w:cs="Arial"/>
          <w:spacing w:val="-4"/>
          <w:lang w:val="en-GB"/>
        </w:rPr>
        <w:t>the</w:t>
      </w:r>
      <w:r w:rsidR="005238BA" w:rsidRPr="008D220A">
        <w:rPr>
          <w:rFonts w:ascii="Arial" w:hAnsi="Arial" w:cs="Arial"/>
          <w:spacing w:val="-4"/>
          <w:lang w:val="uk-UA"/>
        </w:rPr>
        <w:t xml:space="preserve"> </w:t>
      </w:r>
      <w:r w:rsidR="005238BA" w:rsidRPr="008D220A">
        <w:rPr>
          <w:rFonts w:ascii="Arial" w:hAnsi="Arial" w:cs="Arial"/>
          <w:spacing w:val="-4"/>
          <w:lang w:val="en-GB"/>
        </w:rPr>
        <w:t>Consequences</w:t>
      </w:r>
      <w:r w:rsidR="005238BA" w:rsidRPr="008D220A">
        <w:rPr>
          <w:rFonts w:ascii="Arial" w:hAnsi="Arial" w:cs="Arial"/>
          <w:spacing w:val="-4"/>
          <w:lang w:val="uk-UA"/>
        </w:rPr>
        <w:t xml:space="preserve"> </w:t>
      </w:r>
      <w:r w:rsidR="005238BA" w:rsidRPr="008D220A">
        <w:rPr>
          <w:rFonts w:ascii="Arial" w:hAnsi="Arial" w:cs="Arial"/>
          <w:spacing w:val="-4"/>
          <w:lang w:val="en-GB"/>
        </w:rPr>
        <w:t>of</w:t>
      </w:r>
      <w:r w:rsidR="005238BA" w:rsidRPr="008D220A">
        <w:rPr>
          <w:rFonts w:ascii="Arial" w:hAnsi="Arial" w:cs="Arial"/>
          <w:spacing w:val="-4"/>
          <w:lang w:val="uk-UA"/>
        </w:rPr>
        <w:t xml:space="preserve"> </w:t>
      </w:r>
      <w:r w:rsidR="005238BA" w:rsidRPr="008D220A">
        <w:rPr>
          <w:rFonts w:ascii="Arial" w:hAnsi="Arial" w:cs="Arial"/>
          <w:spacing w:val="-4"/>
          <w:lang w:val="en-GB"/>
        </w:rPr>
        <w:t>Chornobyl</w:t>
      </w:r>
      <w:r w:rsidR="005238BA" w:rsidRPr="008D220A">
        <w:rPr>
          <w:rFonts w:ascii="Arial" w:hAnsi="Arial" w:cs="Arial"/>
          <w:spacing w:val="-4"/>
          <w:lang w:val="uk-UA"/>
        </w:rPr>
        <w:t xml:space="preserve"> </w:t>
      </w:r>
      <w:r w:rsidR="005238BA" w:rsidRPr="008D220A">
        <w:rPr>
          <w:rFonts w:ascii="Arial" w:hAnsi="Arial" w:cs="Arial"/>
          <w:spacing w:val="-4"/>
          <w:lang w:val="en-GB"/>
        </w:rPr>
        <w:t>Catastrophe</w:t>
      </w:r>
      <w:r w:rsidR="000D6299" w:rsidRPr="008D220A">
        <w:rPr>
          <w:rFonts w:ascii="Arial" w:hAnsi="Arial" w:cs="Arial"/>
        </w:rPr>
        <w:t>.</w:t>
      </w:r>
    </w:p>
    <w:p w14:paraId="28EC7CD8" w14:textId="2A13FC20" w:rsidR="001725CE" w:rsidRPr="008D220A" w:rsidRDefault="007711CC" w:rsidP="00554850">
      <w:pPr>
        <w:tabs>
          <w:tab w:val="left" w:pos="0"/>
        </w:tabs>
        <w:contextualSpacing/>
        <w:jc w:val="both"/>
        <w:rPr>
          <w:rFonts w:ascii="Arial" w:hAnsi="Arial" w:cs="Arial"/>
          <w:sz w:val="24"/>
          <w:szCs w:val="24"/>
        </w:rPr>
      </w:pPr>
      <w:r w:rsidRPr="008D220A">
        <w:rPr>
          <w:rFonts w:ascii="Georgia" w:hAnsi="Georgia"/>
          <w:sz w:val="24"/>
          <w:szCs w:val="24"/>
          <w:lang w:val="en-US" w:eastAsia="ru-RU"/>
        </w:rPr>
        <w:br/>
      </w:r>
      <w:r w:rsidR="00FA1AEC" w:rsidRPr="008D220A">
        <w:rPr>
          <w:rFonts w:ascii="Arial" w:hAnsi="Arial" w:cs="Arial"/>
          <w:sz w:val="24"/>
          <w:szCs w:val="24"/>
          <w:lang w:val="en-US"/>
        </w:rPr>
        <w:t>I</w:t>
      </w:r>
      <w:r w:rsidR="00973F50" w:rsidRPr="008D220A">
        <w:rPr>
          <w:rFonts w:ascii="Arial" w:hAnsi="Arial" w:cs="Arial"/>
          <w:sz w:val="24"/>
          <w:szCs w:val="24"/>
          <w:lang w:val="en-US"/>
        </w:rPr>
        <w:t>n 2016 t</w:t>
      </w:r>
      <w:r w:rsidR="001725CE" w:rsidRPr="008D220A">
        <w:rPr>
          <w:rFonts w:ascii="Arial" w:hAnsi="Arial" w:cs="Arial"/>
          <w:sz w:val="24"/>
          <w:szCs w:val="24"/>
          <w:lang w:val="en-US"/>
        </w:rPr>
        <w:t xml:space="preserve">he project </w:t>
      </w:r>
      <w:r w:rsidR="00973F50" w:rsidRPr="008D220A">
        <w:rPr>
          <w:rFonts w:ascii="Arial" w:hAnsi="Arial" w:cs="Arial"/>
          <w:sz w:val="24"/>
          <w:szCs w:val="24"/>
          <w:lang w:val="en-US"/>
        </w:rPr>
        <w:t>was</w:t>
      </w:r>
      <w:r w:rsidR="001725CE" w:rsidRPr="008D220A">
        <w:rPr>
          <w:rFonts w:ascii="Arial" w:hAnsi="Arial" w:cs="Arial"/>
          <w:sz w:val="24"/>
          <w:szCs w:val="24"/>
          <w:lang w:val="en-US"/>
        </w:rPr>
        <w:t xml:space="preserve"> instrumental in supporting policy development activities </w:t>
      </w:r>
      <w:r w:rsidR="00973F50" w:rsidRPr="008D220A">
        <w:rPr>
          <w:rFonts w:ascii="Arial" w:hAnsi="Arial" w:cs="Arial"/>
          <w:sz w:val="24"/>
          <w:szCs w:val="24"/>
          <w:lang w:val="en-US"/>
        </w:rPr>
        <w:t>aimed at</w:t>
      </w:r>
      <w:r w:rsidR="001725CE" w:rsidRPr="008D220A">
        <w:rPr>
          <w:rFonts w:ascii="Arial" w:hAnsi="Arial" w:cs="Arial"/>
          <w:sz w:val="24"/>
          <w:szCs w:val="24"/>
          <w:lang w:val="en-US"/>
        </w:rPr>
        <w:t xml:space="preserve"> prioritizing bioenergy deployment.</w:t>
      </w:r>
      <w:r w:rsidR="00973F50" w:rsidRPr="008D220A">
        <w:rPr>
          <w:rFonts w:ascii="Arial" w:hAnsi="Arial" w:cs="Arial"/>
          <w:sz w:val="24"/>
          <w:szCs w:val="24"/>
          <w:lang w:val="en-US"/>
        </w:rPr>
        <w:t xml:space="preserve"> Upon </w:t>
      </w:r>
      <w:r w:rsidR="00973F50" w:rsidRPr="008D220A">
        <w:rPr>
          <w:rFonts w:ascii="Arial" w:hAnsi="Arial" w:cs="Arial"/>
          <w:bCs/>
          <w:sz w:val="24"/>
          <w:szCs w:val="24"/>
          <w:shd w:val="clear" w:color="auto" w:fill="FFFFFF"/>
        </w:rPr>
        <w:t xml:space="preserve">request of the State Agency on Energy Efficiency and Energy Saving of Ukraine </w:t>
      </w:r>
      <w:r w:rsidR="00973F50" w:rsidRPr="008D220A">
        <w:rPr>
          <w:rFonts w:ascii="Arial" w:hAnsi="Arial" w:cs="Arial"/>
          <w:sz w:val="24"/>
          <w:szCs w:val="24"/>
          <w:lang w:val="en-US"/>
        </w:rPr>
        <w:t xml:space="preserve">the Project developed the </w:t>
      </w:r>
      <w:r w:rsidR="001725CE" w:rsidRPr="008D220A">
        <w:rPr>
          <w:rFonts w:ascii="Arial" w:hAnsi="Arial" w:cs="Arial"/>
          <w:sz w:val="24"/>
          <w:szCs w:val="24"/>
          <w:shd w:val="clear" w:color="auto" w:fill="FFFFFF"/>
        </w:rPr>
        <w:t xml:space="preserve">Detailed Bioenergy Roadmap to support implementation of the </w:t>
      </w:r>
      <w:r w:rsidR="001725CE" w:rsidRPr="008D220A">
        <w:rPr>
          <w:rFonts w:ascii="Arial" w:hAnsi="Arial" w:cs="Arial"/>
          <w:bCs/>
          <w:sz w:val="24"/>
          <w:szCs w:val="24"/>
          <w:shd w:val="clear" w:color="auto" w:fill="FFFFFF"/>
        </w:rPr>
        <w:t>National Renewable Energy Action Plan until 2020</w:t>
      </w:r>
      <w:r w:rsidR="00973F50" w:rsidRPr="008D220A">
        <w:rPr>
          <w:rFonts w:ascii="Arial" w:hAnsi="Arial" w:cs="Arial"/>
          <w:b/>
          <w:bCs/>
          <w:sz w:val="24"/>
          <w:szCs w:val="24"/>
          <w:shd w:val="clear" w:color="auto" w:fill="FFFFFF"/>
        </w:rPr>
        <w:t xml:space="preserve"> </w:t>
      </w:r>
      <w:r w:rsidR="001725CE" w:rsidRPr="008D220A">
        <w:rPr>
          <w:rFonts w:ascii="Arial" w:hAnsi="Arial" w:cs="Arial"/>
          <w:bCs/>
          <w:sz w:val="24"/>
          <w:szCs w:val="24"/>
          <w:shd w:val="clear" w:color="auto" w:fill="FFFFFF"/>
        </w:rPr>
        <w:t>.</w:t>
      </w:r>
      <w:r w:rsidR="001725CE" w:rsidRPr="008D220A">
        <w:rPr>
          <w:rFonts w:ascii="Arial" w:hAnsi="Arial" w:cs="Arial"/>
          <w:sz w:val="24"/>
          <w:szCs w:val="24"/>
        </w:rPr>
        <w:t>Th</w:t>
      </w:r>
      <w:r w:rsidR="00973F50" w:rsidRPr="008D220A">
        <w:rPr>
          <w:rFonts w:ascii="Arial" w:hAnsi="Arial" w:cs="Arial"/>
          <w:sz w:val="24"/>
          <w:szCs w:val="24"/>
        </w:rPr>
        <w:t xml:space="preserve">e </w:t>
      </w:r>
      <w:r w:rsidR="001725CE" w:rsidRPr="008D220A">
        <w:rPr>
          <w:rFonts w:ascii="Arial" w:hAnsi="Arial" w:cs="Arial"/>
          <w:sz w:val="24"/>
          <w:szCs w:val="24"/>
        </w:rPr>
        <w:t>Roadmap</w:t>
      </w:r>
      <w:r w:rsidR="00973F50" w:rsidRPr="008D220A">
        <w:rPr>
          <w:rFonts w:ascii="Arial" w:hAnsi="Arial" w:cs="Arial"/>
          <w:sz w:val="24"/>
          <w:szCs w:val="24"/>
        </w:rPr>
        <w:t xml:space="preserve"> </w:t>
      </w:r>
      <w:r w:rsidR="001725CE" w:rsidRPr="008D220A">
        <w:rPr>
          <w:rFonts w:ascii="Arial" w:hAnsi="Arial" w:cs="Arial"/>
          <w:sz w:val="24"/>
          <w:szCs w:val="24"/>
        </w:rPr>
        <w:t xml:space="preserve">(available in Ukrainian on the project website </w:t>
      </w:r>
      <w:hyperlink r:id="rId18" w:history="1">
        <w:r w:rsidR="001725CE" w:rsidRPr="008D220A">
          <w:rPr>
            <w:rStyle w:val="ab"/>
            <w:color w:val="auto"/>
            <w:sz w:val="24"/>
            <w:szCs w:val="24"/>
          </w:rPr>
          <w:t>http://bioenergy.in.ua/uk/library/korisni-materiali/dorozhnia-karta-z-rozvitku-tverdogo-biopaliva-ukrayini/</w:t>
        </w:r>
      </w:hyperlink>
      <w:r w:rsidR="001725CE" w:rsidRPr="008D220A">
        <w:rPr>
          <w:rFonts w:ascii="Arial" w:hAnsi="Arial" w:cs="Arial"/>
          <w:sz w:val="24"/>
          <w:szCs w:val="24"/>
        </w:rPr>
        <w:t>),</w:t>
      </w:r>
      <w:r w:rsidR="00973F50" w:rsidRPr="008D220A">
        <w:rPr>
          <w:rFonts w:ascii="Arial" w:hAnsi="Arial" w:cs="Arial"/>
          <w:sz w:val="24"/>
          <w:szCs w:val="24"/>
        </w:rPr>
        <w:t xml:space="preserve"> </w:t>
      </w:r>
      <w:r w:rsidR="001725CE" w:rsidRPr="008D220A">
        <w:rPr>
          <w:rFonts w:ascii="Arial" w:hAnsi="Arial" w:cs="Arial"/>
          <w:sz w:val="24"/>
          <w:szCs w:val="24"/>
        </w:rPr>
        <w:t xml:space="preserve">gives a detailed strategic analysis of the (solid) biomass market situation and prospects in Ukraine. Based on the vision formulated in the “concept” bioenergy roadmap prepared by the project in 2015, the Roadmap specifies the tasks stated in the National </w:t>
      </w:r>
      <w:r w:rsidR="001725CE" w:rsidRPr="008D220A">
        <w:rPr>
          <w:rFonts w:ascii="Arial" w:hAnsi="Arial" w:cs="Arial"/>
          <w:sz w:val="24"/>
          <w:szCs w:val="24"/>
          <w:shd w:val="clear" w:color="auto" w:fill="FFFFFF"/>
        </w:rPr>
        <w:t>Renewable Energy Action Plan until 2020 t</w:t>
      </w:r>
      <w:r w:rsidR="001725CE" w:rsidRPr="008D220A">
        <w:rPr>
          <w:rFonts w:ascii="Arial" w:hAnsi="Arial" w:cs="Arial"/>
          <w:sz w:val="24"/>
          <w:szCs w:val="24"/>
        </w:rPr>
        <w:t xml:space="preserve">aking into account existing resource base and defined measures necessary to achieve the biomass utilization objectives. </w:t>
      </w:r>
    </w:p>
    <w:p w14:paraId="65A68B63" w14:textId="77777777" w:rsidR="0012520C" w:rsidRPr="008D220A" w:rsidRDefault="0012520C" w:rsidP="003A7E24">
      <w:pPr>
        <w:pStyle w:val="af6"/>
        <w:tabs>
          <w:tab w:val="left" w:pos="0"/>
        </w:tabs>
        <w:spacing w:after="0" w:line="240" w:lineRule="auto"/>
        <w:ind w:left="284"/>
        <w:jc w:val="both"/>
        <w:rPr>
          <w:rFonts w:ascii="Arial" w:hAnsi="Arial" w:cs="Arial"/>
          <w:sz w:val="24"/>
          <w:szCs w:val="24"/>
        </w:rPr>
      </w:pPr>
    </w:p>
    <w:p w14:paraId="5623FB6F" w14:textId="3AD1FC44" w:rsidR="008A77D4" w:rsidRPr="008D220A" w:rsidRDefault="001725CE" w:rsidP="00882458">
      <w:pPr>
        <w:jc w:val="both"/>
        <w:rPr>
          <w:rFonts w:ascii="Myriad Pro" w:hAnsi="Myriad Pro"/>
          <w:sz w:val="24"/>
          <w:szCs w:val="24"/>
        </w:rPr>
      </w:pPr>
      <w:r w:rsidRPr="008D220A">
        <w:rPr>
          <w:rFonts w:ascii="Arial" w:hAnsi="Arial" w:cs="Arial"/>
          <w:sz w:val="24"/>
          <w:szCs w:val="24"/>
        </w:rPr>
        <w:t>At the regional level</w:t>
      </w:r>
      <w:r w:rsidR="008A77D4" w:rsidRPr="008D220A">
        <w:rPr>
          <w:rFonts w:ascii="Arial" w:hAnsi="Arial" w:cs="Arial"/>
          <w:sz w:val="24"/>
          <w:szCs w:val="24"/>
        </w:rPr>
        <w:t xml:space="preserve"> the Project envisages that </w:t>
      </w:r>
      <w:r w:rsidR="00857DE4" w:rsidRPr="008D220A">
        <w:rPr>
          <w:rFonts w:ascii="Arial" w:hAnsi="Arial" w:cs="Arial"/>
          <w:sz w:val="24"/>
          <w:szCs w:val="24"/>
          <w:u w:val="single"/>
        </w:rPr>
        <w:t xml:space="preserve">biomass </w:t>
      </w:r>
      <w:r w:rsidR="008A77D4" w:rsidRPr="008D220A">
        <w:rPr>
          <w:rFonts w:ascii="Arial" w:hAnsi="Arial" w:cs="Arial"/>
          <w:sz w:val="24"/>
          <w:szCs w:val="24"/>
          <w:u w:val="single"/>
        </w:rPr>
        <w:t xml:space="preserve">energy </w:t>
      </w:r>
      <w:r w:rsidRPr="008D220A">
        <w:rPr>
          <w:rFonts w:ascii="Arial" w:hAnsi="Arial" w:cs="Arial"/>
          <w:sz w:val="24"/>
          <w:szCs w:val="24"/>
          <w:u w:val="single"/>
        </w:rPr>
        <w:t xml:space="preserve">targets </w:t>
      </w:r>
      <w:r w:rsidR="008A77D4" w:rsidRPr="008D220A">
        <w:rPr>
          <w:rFonts w:ascii="Arial" w:hAnsi="Arial" w:cs="Arial"/>
          <w:sz w:val="24"/>
          <w:szCs w:val="24"/>
        </w:rPr>
        <w:t>in heating are developed, agreed and adopted for at least selected pilot oblasts (regions).</w:t>
      </w:r>
      <w:r w:rsidR="00882458" w:rsidRPr="008D220A">
        <w:rPr>
          <w:rFonts w:ascii="Arial" w:hAnsi="Arial" w:cs="Arial"/>
          <w:sz w:val="24"/>
          <w:szCs w:val="24"/>
        </w:rPr>
        <w:t xml:space="preserve"> In 2016 biomass energy targets </w:t>
      </w:r>
      <w:r w:rsidR="00857DE4" w:rsidRPr="008D220A">
        <w:rPr>
          <w:rFonts w:ascii="Arial" w:hAnsi="Arial" w:cs="Arial"/>
          <w:sz w:val="24"/>
          <w:szCs w:val="24"/>
          <w:u w:val="single"/>
        </w:rPr>
        <w:t xml:space="preserve">were set for </w:t>
      </w:r>
      <w:r w:rsidRPr="008D220A">
        <w:rPr>
          <w:rFonts w:ascii="Arial" w:hAnsi="Arial" w:cs="Arial"/>
          <w:sz w:val="24"/>
          <w:szCs w:val="24"/>
          <w:u w:val="single"/>
        </w:rPr>
        <w:t>7 pilot oblasts</w:t>
      </w:r>
      <w:r w:rsidRPr="008D220A">
        <w:rPr>
          <w:rFonts w:ascii="Arial" w:hAnsi="Arial" w:cs="Arial"/>
          <w:sz w:val="24"/>
          <w:szCs w:val="24"/>
        </w:rPr>
        <w:t xml:space="preserve"> (Poltava, Ivano-Frankivsk, Zakarpattia, Volyn’, Dnipropetrovsk, Zhytomyr and Cherkassy)</w:t>
      </w:r>
      <w:r w:rsidR="00857DE4" w:rsidRPr="008D220A">
        <w:rPr>
          <w:rFonts w:ascii="Arial" w:hAnsi="Arial" w:cs="Arial"/>
          <w:sz w:val="24"/>
          <w:szCs w:val="24"/>
        </w:rPr>
        <w:t xml:space="preserve"> under the formulated Regional Biomass Programmes.</w:t>
      </w:r>
      <w:r w:rsidR="008A77D4" w:rsidRPr="008D220A">
        <w:rPr>
          <w:rFonts w:ascii="Arial" w:hAnsi="Arial" w:cs="Arial"/>
          <w:sz w:val="24"/>
          <w:szCs w:val="24"/>
        </w:rPr>
        <w:t xml:space="preserve"> These Regional Biomass Programmes provide for a systematic approach to the transition from the traditional district heating system to a modern and efficient system that </w:t>
      </w:r>
      <w:r w:rsidR="008A77D4" w:rsidRPr="008D220A">
        <w:rPr>
          <w:rFonts w:ascii="Arial" w:hAnsi="Arial" w:cs="Arial"/>
          <w:sz w:val="24"/>
          <w:szCs w:val="24"/>
        </w:rPr>
        <w:lastRenderedPageBreak/>
        <w:t xml:space="preserve">involves the use of available local biomass fuels instead of imported natural gas. The Programmes describe the current situation with energy consumption in the regions, analyze local biomass potential, and suggest activities, measures, monitoring and quality management approaches to ensure prompt introduction of </w:t>
      </w:r>
      <w:r w:rsidR="00882458" w:rsidRPr="008D220A">
        <w:rPr>
          <w:rFonts w:ascii="Arial" w:hAnsi="Arial" w:cs="Arial"/>
          <w:sz w:val="24"/>
          <w:szCs w:val="24"/>
        </w:rPr>
        <w:t>bioenergy</w:t>
      </w:r>
      <w:r w:rsidR="008A77D4" w:rsidRPr="008D220A">
        <w:rPr>
          <w:rFonts w:ascii="Arial" w:hAnsi="Arial" w:cs="Arial"/>
          <w:sz w:val="24"/>
          <w:szCs w:val="24"/>
        </w:rPr>
        <w:t xml:space="preserve"> technologies in the regions. </w:t>
      </w:r>
      <w:r w:rsidR="000B3ADD" w:rsidRPr="008D220A">
        <w:rPr>
          <w:rFonts w:ascii="Arial" w:hAnsi="Arial" w:cs="Arial"/>
          <w:sz w:val="24"/>
          <w:szCs w:val="24"/>
        </w:rPr>
        <w:t xml:space="preserve">By the </w:t>
      </w:r>
      <w:r w:rsidR="00AB36AB" w:rsidRPr="008D220A">
        <w:rPr>
          <w:rFonts w:ascii="Arial" w:hAnsi="Arial" w:cs="Arial"/>
          <w:sz w:val="24"/>
          <w:szCs w:val="24"/>
        </w:rPr>
        <w:t>beginning</w:t>
      </w:r>
      <w:r w:rsidR="000B3ADD" w:rsidRPr="008D220A">
        <w:rPr>
          <w:rFonts w:ascii="Arial" w:hAnsi="Arial" w:cs="Arial"/>
          <w:sz w:val="24"/>
          <w:szCs w:val="24"/>
        </w:rPr>
        <w:t xml:space="preserve"> of 201</w:t>
      </w:r>
      <w:r w:rsidR="00AB36AB" w:rsidRPr="008D220A">
        <w:rPr>
          <w:rFonts w:ascii="Arial" w:hAnsi="Arial" w:cs="Arial"/>
          <w:sz w:val="24"/>
          <w:szCs w:val="24"/>
        </w:rPr>
        <w:t>7</w:t>
      </w:r>
      <w:r w:rsidR="000B3ADD" w:rsidRPr="008D220A">
        <w:rPr>
          <w:rFonts w:ascii="Arial" w:hAnsi="Arial" w:cs="Arial"/>
          <w:sz w:val="24"/>
          <w:szCs w:val="24"/>
        </w:rPr>
        <w:t xml:space="preserve"> all the developed Regional Biomass Programmes have been subm</w:t>
      </w:r>
      <w:r w:rsidR="000973D6" w:rsidRPr="008D220A">
        <w:rPr>
          <w:rFonts w:ascii="Arial" w:hAnsi="Arial" w:cs="Arial"/>
          <w:sz w:val="24"/>
          <w:szCs w:val="24"/>
        </w:rPr>
        <w:t xml:space="preserve">itted to and discussed with </w:t>
      </w:r>
      <w:r w:rsidR="000B3ADD" w:rsidRPr="008D220A">
        <w:rPr>
          <w:rFonts w:ascii="Arial" w:hAnsi="Arial" w:cs="Arial"/>
          <w:sz w:val="24"/>
          <w:szCs w:val="24"/>
        </w:rPr>
        <w:t>respective local authorities</w:t>
      </w:r>
      <w:r w:rsidR="000973D6" w:rsidRPr="008D220A">
        <w:rPr>
          <w:rFonts w:ascii="Arial" w:hAnsi="Arial" w:cs="Arial"/>
          <w:sz w:val="24"/>
          <w:szCs w:val="24"/>
        </w:rPr>
        <w:t>, pending approval by</w:t>
      </w:r>
      <w:r w:rsidR="000B3ADD" w:rsidRPr="008D220A">
        <w:rPr>
          <w:rFonts w:ascii="Arial" w:hAnsi="Arial" w:cs="Arial"/>
          <w:sz w:val="24"/>
          <w:szCs w:val="24"/>
        </w:rPr>
        <w:t xml:space="preserve"> local councils.</w:t>
      </w:r>
    </w:p>
    <w:p w14:paraId="199A7916" w14:textId="77777777" w:rsidR="008A77D4" w:rsidRPr="008D220A" w:rsidRDefault="008A77D4" w:rsidP="00E852A5">
      <w:pPr>
        <w:tabs>
          <w:tab w:val="left" w:pos="0"/>
        </w:tabs>
        <w:contextualSpacing/>
        <w:jc w:val="both"/>
        <w:rPr>
          <w:rFonts w:ascii="Arial" w:hAnsi="Arial" w:cs="Arial"/>
          <w:sz w:val="24"/>
          <w:szCs w:val="24"/>
          <w:lang w:val="en-US"/>
        </w:rPr>
      </w:pPr>
    </w:p>
    <w:p w14:paraId="417BA01F" w14:textId="6C29272A" w:rsidR="00E852A5" w:rsidRPr="008D220A" w:rsidRDefault="00E852A5" w:rsidP="00E852A5">
      <w:pPr>
        <w:jc w:val="both"/>
        <w:rPr>
          <w:rFonts w:ascii="Arial" w:hAnsi="Arial" w:cs="Arial"/>
          <w:sz w:val="24"/>
          <w:szCs w:val="24"/>
          <w:lang w:val="en-US"/>
        </w:rPr>
      </w:pPr>
      <w:r w:rsidRPr="008D220A">
        <w:rPr>
          <w:rFonts w:ascii="Arial" w:hAnsi="Arial" w:cs="Arial"/>
          <w:b/>
          <w:sz w:val="24"/>
          <w:szCs w:val="24"/>
          <w:lang w:val="en-US"/>
        </w:rPr>
        <w:t>Planned actions/activities for 201</w:t>
      </w:r>
      <w:r w:rsidR="00207A96" w:rsidRPr="008D220A">
        <w:rPr>
          <w:rFonts w:ascii="Arial" w:hAnsi="Arial" w:cs="Arial"/>
          <w:b/>
          <w:sz w:val="24"/>
          <w:szCs w:val="24"/>
          <w:lang w:val="en-US"/>
        </w:rPr>
        <w:t>7</w:t>
      </w:r>
      <w:r w:rsidRPr="008D220A">
        <w:rPr>
          <w:rFonts w:ascii="Arial" w:hAnsi="Arial" w:cs="Arial"/>
          <w:b/>
          <w:sz w:val="24"/>
          <w:szCs w:val="24"/>
          <w:lang w:val="en-US"/>
        </w:rPr>
        <w:t>:</w:t>
      </w:r>
      <w:r w:rsidRPr="008D220A">
        <w:rPr>
          <w:rFonts w:ascii="Arial" w:hAnsi="Arial" w:cs="Arial"/>
          <w:sz w:val="24"/>
          <w:szCs w:val="24"/>
          <w:lang w:val="en-US"/>
        </w:rPr>
        <w:t xml:space="preserve"> </w:t>
      </w:r>
    </w:p>
    <w:p w14:paraId="18F4F46E" w14:textId="0886FA0E" w:rsidR="00E852A5" w:rsidRPr="008D220A" w:rsidRDefault="00084114" w:rsidP="00084114">
      <w:pPr>
        <w:pStyle w:val="rvps2"/>
        <w:numPr>
          <w:ilvl w:val="1"/>
          <w:numId w:val="3"/>
        </w:numPr>
        <w:shd w:val="clear" w:color="auto" w:fill="FFFFFF"/>
        <w:spacing w:before="0" w:beforeAutospacing="0" w:after="0" w:afterAutospacing="0"/>
        <w:jc w:val="both"/>
        <w:rPr>
          <w:rFonts w:ascii="Arial" w:hAnsi="Arial" w:cs="Arial"/>
          <w:shd w:val="clear" w:color="auto" w:fill="FFFFFF"/>
        </w:rPr>
      </w:pPr>
      <w:r w:rsidRPr="008D220A">
        <w:rPr>
          <w:rFonts w:ascii="Arial" w:hAnsi="Arial" w:cs="Arial"/>
          <w:shd w:val="clear" w:color="auto" w:fill="FFFFFF"/>
        </w:rPr>
        <w:t>Provide technical support to facilitate the adoption of 7 R</w:t>
      </w:r>
      <w:r w:rsidR="00E852A5" w:rsidRPr="008D220A">
        <w:rPr>
          <w:rFonts w:ascii="Arial" w:hAnsi="Arial" w:cs="Arial"/>
          <w:shd w:val="clear" w:color="auto" w:fill="FFFFFF"/>
        </w:rPr>
        <w:t xml:space="preserve">egional </w:t>
      </w:r>
      <w:r w:rsidRPr="008D220A">
        <w:rPr>
          <w:rFonts w:ascii="Arial" w:hAnsi="Arial" w:cs="Arial"/>
          <w:shd w:val="clear" w:color="auto" w:fill="FFFFFF"/>
        </w:rPr>
        <w:t>P</w:t>
      </w:r>
      <w:r w:rsidR="00E852A5" w:rsidRPr="008D220A">
        <w:rPr>
          <w:rFonts w:ascii="Arial" w:hAnsi="Arial" w:cs="Arial"/>
          <w:shd w:val="clear" w:color="auto" w:fill="FFFFFF"/>
        </w:rPr>
        <w:t xml:space="preserve">rograms on </w:t>
      </w:r>
      <w:r w:rsidRPr="008D220A">
        <w:rPr>
          <w:rFonts w:ascii="Arial" w:hAnsi="Arial" w:cs="Arial"/>
          <w:shd w:val="clear" w:color="auto" w:fill="FFFFFF"/>
        </w:rPr>
        <w:t>B</w:t>
      </w:r>
      <w:r w:rsidR="00E852A5" w:rsidRPr="008D220A">
        <w:rPr>
          <w:rFonts w:ascii="Arial" w:hAnsi="Arial" w:cs="Arial"/>
          <w:shd w:val="clear" w:color="auto" w:fill="FFFFFF"/>
        </w:rPr>
        <w:t xml:space="preserve">iomass </w:t>
      </w:r>
      <w:r w:rsidRPr="008D220A">
        <w:rPr>
          <w:rFonts w:ascii="Arial" w:hAnsi="Arial" w:cs="Arial"/>
          <w:shd w:val="clear" w:color="auto" w:fill="FFFFFF"/>
        </w:rPr>
        <w:t>U</w:t>
      </w:r>
      <w:r w:rsidR="00E852A5" w:rsidRPr="008D220A">
        <w:rPr>
          <w:rFonts w:ascii="Arial" w:hAnsi="Arial" w:cs="Arial"/>
          <w:shd w:val="clear" w:color="auto" w:fill="FFFFFF"/>
        </w:rPr>
        <w:t>tilization for heat and hot water supply (in Zakarpattia, Volyn, Ivano-Frankivsk, Dnipropetrovsk, Zhytomyr, Cherkassy, Poltava oblasts).</w:t>
      </w:r>
    </w:p>
    <w:p w14:paraId="0E95E760" w14:textId="37B1D922" w:rsidR="007866A8" w:rsidRPr="008D220A" w:rsidRDefault="00E47653" w:rsidP="007866A8">
      <w:pPr>
        <w:pStyle w:val="rvps2"/>
        <w:numPr>
          <w:ilvl w:val="1"/>
          <w:numId w:val="3"/>
        </w:numPr>
        <w:shd w:val="clear" w:color="auto" w:fill="FFFFFF"/>
        <w:spacing w:before="0" w:beforeAutospacing="0" w:after="0" w:afterAutospacing="0"/>
        <w:jc w:val="both"/>
        <w:rPr>
          <w:rFonts w:ascii="Times" w:hAnsi="Times"/>
          <w:lang w:eastAsia="ru-RU"/>
        </w:rPr>
      </w:pPr>
      <w:r w:rsidRPr="008D220A">
        <w:rPr>
          <w:rFonts w:ascii="Arial" w:hAnsi="Arial" w:cs="Arial"/>
          <w:shd w:val="clear" w:color="auto" w:fill="FFFFFF"/>
        </w:rPr>
        <w:t xml:space="preserve">Support the enforcement of biomass policy framework through facilitating legislation changes/amendments, including through legislation review and provision of recommendations, organization of </w:t>
      </w:r>
      <w:r w:rsidR="00E852A5" w:rsidRPr="008D220A">
        <w:rPr>
          <w:rFonts w:ascii="Arial" w:hAnsi="Arial" w:cs="Arial"/>
          <w:shd w:val="clear" w:color="auto" w:fill="FFFFFF"/>
        </w:rPr>
        <w:t>public and professional discussions and follow</w:t>
      </w:r>
      <w:r w:rsidR="00571901" w:rsidRPr="008D220A">
        <w:rPr>
          <w:rFonts w:ascii="Arial" w:hAnsi="Arial" w:cs="Arial"/>
          <w:shd w:val="clear" w:color="auto" w:fill="FFFFFF"/>
        </w:rPr>
        <w:t>-</w:t>
      </w:r>
      <w:r w:rsidR="00E852A5" w:rsidRPr="008D220A">
        <w:rPr>
          <w:rFonts w:ascii="Arial" w:hAnsi="Arial" w:cs="Arial"/>
          <w:shd w:val="clear" w:color="auto" w:fill="FFFFFF"/>
        </w:rPr>
        <w:t xml:space="preserve">up </w:t>
      </w:r>
      <w:r w:rsidR="00360716" w:rsidRPr="008D220A">
        <w:rPr>
          <w:rFonts w:ascii="Arial" w:hAnsi="Arial" w:cs="Arial"/>
          <w:shd w:val="clear" w:color="auto" w:fill="FFFFFF"/>
        </w:rPr>
        <w:t xml:space="preserve">on the </w:t>
      </w:r>
      <w:r w:rsidR="00E852A5" w:rsidRPr="008D220A">
        <w:rPr>
          <w:rFonts w:ascii="Arial" w:hAnsi="Arial" w:cs="Arial"/>
          <w:shd w:val="clear" w:color="auto" w:fill="FFFFFF"/>
        </w:rPr>
        <w:t xml:space="preserve">adoption of the proposed </w:t>
      </w:r>
      <w:r w:rsidRPr="008D220A">
        <w:rPr>
          <w:rFonts w:ascii="Arial" w:hAnsi="Arial" w:cs="Arial"/>
          <w:shd w:val="clear" w:color="auto" w:fill="FFFFFF"/>
        </w:rPr>
        <w:t>in 2015 c</w:t>
      </w:r>
      <w:r w:rsidR="00E852A5" w:rsidRPr="008D220A">
        <w:rPr>
          <w:rFonts w:ascii="Arial" w:hAnsi="Arial" w:cs="Arial"/>
          <w:shd w:val="clear" w:color="auto" w:fill="FFFFFF"/>
        </w:rPr>
        <w:t>hanges</w:t>
      </w:r>
      <w:r w:rsidRPr="008D220A">
        <w:rPr>
          <w:rFonts w:ascii="Arial" w:hAnsi="Arial" w:cs="Arial"/>
          <w:shd w:val="clear" w:color="auto" w:fill="FFFFFF"/>
        </w:rPr>
        <w:t xml:space="preserve">/amendments to the </w:t>
      </w:r>
      <w:r w:rsidR="007866A8" w:rsidRPr="008D220A">
        <w:rPr>
          <w:rFonts w:ascii="Arial" w:hAnsi="Arial" w:cs="Arial"/>
          <w:shd w:val="clear" w:color="auto" w:fill="FFFFFF"/>
        </w:rPr>
        <w:t xml:space="preserve">laws and regulations applicable to biomass energy development. </w:t>
      </w:r>
    </w:p>
    <w:p w14:paraId="7098AD28" w14:textId="77777777" w:rsidR="00E852A5" w:rsidRPr="008D220A" w:rsidRDefault="00E852A5" w:rsidP="00E852A5">
      <w:pPr>
        <w:pStyle w:val="rvps2"/>
        <w:numPr>
          <w:ilvl w:val="1"/>
          <w:numId w:val="3"/>
        </w:numPr>
        <w:shd w:val="clear" w:color="auto" w:fill="FFFFFF"/>
        <w:spacing w:before="0" w:beforeAutospacing="0" w:after="0" w:afterAutospacing="0"/>
        <w:jc w:val="both"/>
        <w:rPr>
          <w:rFonts w:ascii="Arial" w:hAnsi="Arial" w:cs="Arial"/>
          <w:shd w:val="clear" w:color="auto" w:fill="FFFFFF"/>
        </w:rPr>
      </w:pPr>
      <w:r w:rsidRPr="008D220A">
        <w:rPr>
          <w:rFonts w:ascii="Arial" w:hAnsi="Arial" w:cs="Arial"/>
          <w:shd w:val="clear" w:color="auto" w:fill="FFFFFF"/>
        </w:rPr>
        <w:t xml:space="preserve">Attract expertize to develop market oriented policy to promote municipal biomass utilization for heat and hot water supply services. </w:t>
      </w:r>
    </w:p>
    <w:p w14:paraId="2C37D7F6" w14:textId="77777777" w:rsidR="00E852A5" w:rsidRPr="008D220A" w:rsidRDefault="00E852A5" w:rsidP="00E852A5">
      <w:pPr>
        <w:jc w:val="both"/>
        <w:rPr>
          <w:rFonts w:ascii="Arial" w:hAnsi="Arial" w:cs="Arial"/>
          <w:b/>
          <w:bCs/>
          <w:sz w:val="24"/>
          <w:szCs w:val="24"/>
          <w:lang w:val="en-US"/>
        </w:rPr>
      </w:pPr>
    </w:p>
    <w:p w14:paraId="2CD1F7E9" w14:textId="77777777" w:rsidR="002379CE" w:rsidRPr="008D220A" w:rsidRDefault="002379CE" w:rsidP="002379CE">
      <w:pPr>
        <w:jc w:val="both"/>
        <w:rPr>
          <w:rFonts w:ascii="Arial" w:hAnsi="Arial" w:cs="Arial"/>
          <w:sz w:val="24"/>
          <w:szCs w:val="24"/>
          <w:shd w:val="clear" w:color="auto" w:fill="FFFFFF"/>
          <w:lang w:val="en-US"/>
        </w:rPr>
      </w:pPr>
      <w:r w:rsidRPr="008D220A">
        <w:rPr>
          <w:rFonts w:ascii="Arial" w:hAnsi="Arial" w:cs="Arial"/>
          <w:b/>
          <w:bCs/>
          <w:sz w:val="24"/>
          <w:szCs w:val="24"/>
          <w:lang w:val="en-US"/>
        </w:rPr>
        <w:t>COMPONENT (ACTIVITY) 2:</w:t>
      </w:r>
      <w:r w:rsidRPr="008D220A">
        <w:rPr>
          <w:rFonts w:ascii="Arial" w:hAnsi="Arial" w:cs="Arial"/>
          <w:bCs/>
          <w:sz w:val="24"/>
          <w:szCs w:val="24"/>
          <w:lang w:val="en-US"/>
        </w:rPr>
        <w:t xml:space="preserve"> </w:t>
      </w:r>
      <w:r w:rsidRPr="008D220A">
        <w:rPr>
          <w:rFonts w:ascii="Arial" w:hAnsi="Arial" w:cs="Arial"/>
          <w:sz w:val="24"/>
          <w:szCs w:val="24"/>
        </w:rPr>
        <w:t>Capacity available within relevant national bodies to support development and implementation of a municipal biomass programme through the establishment of a Biomass Support Unit or alternative arrangements.</w:t>
      </w:r>
    </w:p>
    <w:p w14:paraId="0E206E7A" w14:textId="77777777" w:rsidR="002379CE" w:rsidRPr="008D220A" w:rsidRDefault="002379CE" w:rsidP="002379CE">
      <w:pPr>
        <w:jc w:val="both"/>
        <w:rPr>
          <w:rFonts w:ascii="Arial" w:hAnsi="Arial" w:cs="Arial"/>
          <w:sz w:val="24"/>
          <w:szCs w:val="24"/>
          <w:lang w:val="en-US"/>
        </w:rPr>
      </w:pPr>
    </w:p>
    <w:p w14:paraId="0D3B0714" w14:textId="77777777" w:rsidR="002379CE" w:rsidRPr="008D220A" w:rsidRDefault="002379CE" w:rsidP="002379CE">
      <w:pPr>
        <w:jc w:val="both"/>
        <w:rPr>
          <w:rFonts w:ascii="Arial" w:hAnsi="Arial" w:cs="Arial"/>
          <w:b/>
          <w:sz w:val="24"/>
          <w:szCs w:val="24"/>
          <w:lang w:val="en-US"/>
        </w:rPr>
      </w:pPr>
      <w:r w:rsidRPr="008D220A">
        <w:rPr>
          <w:rFonts w:ascii="Arial" w:hAnsi="Arial" w:cs="Arial"/>
          <w:b/>
          <w:sz w:val="24"/>
          <w:szCs w:val="24"/>
          <w:lang w:val="en-US"/>
        </w:rPr>
        <w:t>Situation analysis at the beginning of 2017:</w:t>
      </w:r>
    </w:p>
    <w:p w14:paraId="2C8B4C0E" w14:textId="77777777" w:rsidR="002379CE" w:rsidRPr="008D220A" w:rsidRDefault="002379CE" w:rsidP="002379CE">
      <w:pPr>
        <w:jc w:val="both"/>
        <w:rPr>
          <w:rFonts w:ascii="Arial" w:hAnsi="Arial" w:cs="Arial"/>
          <w:sz w:val="24"/>
          <w:szCs w:val="24"/>
        </w:rPr>
      </w:pPr>
      <w:r w:rsidRPr="008D220A">
        <w:rPr>
          <w:rFonts w:ascii="Arial" w:eastAsia="Calibri" w:hAnsi="Arial" w:cs="Arial"/>
          <w:sz w:val="24"/>
          <w:szCs w:val="24"/>
          <w:lang w:val="en-US"/>
        </w:rPr>
        <w:t xml:space="preserve">The project component 2 turned to be the most challenging one, as according to the initial strategy outlined in the Project Document, the project was to develop relevant capacity within the </w:t>
      </w:r>
      <w:r w:rsidRPr="008D220A">
        <w:rPr>
          <w:rFonts w:ascii="Arial" w:hAnsi="Arial" w:cs="Arial"/>
          <w:sz w:val="24"/>
          <w:szCs w:val="24"/>
          <w:shd w:val="clear" w:color="auto" w:fill="FFFFFF"/>
          <w:lang w:val="en-US"/>
        </w:rPr>
        <w:t xml:space="preserve">Ministry of Agrarian Policy and Food of Ukraine, which, however, after </w:t>
      </w:r>
      <w:r w:rsidRPr="008D220A">
        <w:rPr>
          <w:rFonts w:ascii="Arial" w:hAnsi="Arial" w:cs="Arial"/>
          <w:sz w:val="24"/>
          <w:szCs w:val="24"/>
          <w:lang w:val="en-US"/>
        </w:rPr>
        <w:t>political and institutional transformations in Ukraine occurred in 2014</w:t>
      </w:r>
      <w:r w:rsidRPr="008D220A">
        <w:rPr>
          <w:rFonts w:ascii="Arial" w:hAnsi="Arial" w:cs="Arial"/>
          <w:bCs/>
          <w:sz w:val="24"/>
          <w:szCs w:val="24"/>
          <w:lang w:val="en-US"/>
        </w:rPr>
        <w:t xml:space="preserve"> has almost no authority to lead and manage a Biomass Support Unit. Thus the Project has been left without a key partner. In fact, the </w:t>
      </w:r>
      <w:r w:rsidRPr="008D220A">
        <w:rPr>
          <w:rFonts w:ascii="Arial" w:hAnsi="Arial" w:cs="Arial"/>
          <w:sz w:val="24"/>
          <w:szCs w:val="24"/>
        </w:rPr>
        <w:t xml:space="preserve">institutional framework of the biomass energy is scattered amongst several government agencies/ministries: Ministry of Regional Development, Construction, Housing and Communal Services, </w:t>
      </w:r>
      <w:r w:rsidRPr="008D220A">
        <w:rPr>
          <w:rStyle w:val="af4"/>
          <w:rFonts w:ascii="Arial" w:hAnsi="Arial" w:cs="Arial"/>
          <w:b w:val="0"/>
          <w:iCs/>
          <w:sz w:val="24"/>
          <w:szCs w:val="24"/>
          <w:shd w:val="clear" w:color="auto" w:fill="FFFFFF"/>
        </w:rPr>
        <w:t>Ministry of Ecology and Natural Resources,</w:t>
      </w:r>
      <w:r w:rsidRPr="008D220A">
        <w:rPr>
          <w:rFonts w:ascii="Arial" w:hAnsi="Arial" w:cs="Arial"/>
          <w:b/>
          <w:sz w:val="24"/>
          <w:szCs w:val="24"/>
        </w:rPr>
        <w:t xml:space="preserve"> </w:t>
      </w:r>
      <w:r w:rsidRPr="008D220A">
        <w:rPr>
          <w:rStyle w:val="af4"/>
          <w:rFonts w:ascii="Arial" w:hAnsi="Arial" w:cs="Arial"/>
          <w:b w:val="0"/>
          <w:iCs/>
          <w:sz w:val="24"/>
          <w:szCs w:val="24"/>
          <w:shd w:val="clear" w:color="auto" w:fill="FFFFFF"/>
        </w:rPr>
        <w:t>Ministry of Energy and Coal Industry,</w:t>
      </w:r>
      <w:r w:rsidRPr="008D220A">
        <w:rPr>
          <w:rFonts w:ascii="Arial" w:eastAsia="Calibri" w:hAnsi="Arial" w:cs="Arial"/>
          <w:sz w:val="24"/>
          <w:szCs w:val="24"/>
          <w:lang w:val="en-US"/>
        </w:rPr>
        <w:t xml:space="preserve"> </w:t>
      </w:r>
      <w:r w:rsidRPr="008D220A">
        <w:rPr>
          <w:rFonts w:ascii="Arial" w:hAnsi="Arial" w:cs="Arial"/>
          <w:sz w:val="24"/>
          <w:szCs w:val="24"/>
          <w:shd w:val="clear" w:color="auto" w:fill="FFFFFF"/>
          <w:lang w:val="en-US"/>
        </w:rPr>
        <w:t>Ministry of Agrarian Policy and Food of Ukraine,</w:t>
      </w:r>
      <w:r w:rsidRPr="008D220A">
        <w:rPr>
          <w:rStyle w:val="af4"/>
          <w:rFonts w:ascii="Arial" w:hAnsi="Arial" w:cs="Arial"/>
          <w:iCs/>
          <w:sz w:val="24"/>
          <w:szCs w:val="24"/>
          <w:shd w:val="clear" w:color="auto" w:fill="FFFFFF"/>
        </w:rPr>
        <w:t xml:space="preserve"> </w:t>
      </w:r>
      <w:r w:rsidRPr="008D220A">
        <w:rPr>
          <w:rStyle w:val="af4"/>
          <w:rFonts w:ascii="Arial" w:hAnsi="Arial" w:cs="Arial"/>
          <w:b w:val="0"/>
          <w:iCs/>
          <w:sz w:val="24"/>
          <w:szCs w:val="24"/>
          <w:shd w:val="clear" w:color="auto" w:fill="FFFFFF"/>
        </w:rPr>
        <w:t>Ministry of Economic Development and Trade, State Forest Resources Agency of Ukraine</w:t>
      </w:r>
      <w:r w:rsidRPr="008D220A">
        <w:rPr>
          <w:rStyle w:val="af4"/>
          <w:rFonts w:ascii="Arial" w:hAnsi="Arial" w:cs="Arial"/>
          <w:iCs/>
          <w:sz w:val="24"/>
          <w:szCs w:val="24"/>
          <w:shd w:val="clear" w:color="auto" w:fill="FFFFFF"/>
        </w:rPr>
        <w:t>,</w:t>
      </w:r>
      <w:r w:rsidRPr="008D220A">
        <w:rPr>
          <w:rFonts w:ascii="Arial" w:hAnsi="Arial" w:cs="Arial"/>
          <w:sz w:val="24"/>
          <w:szCs w:val="24"/>
        </w:rPr>
        <w:t xml:space="preserve"> State Agency for Energy Efficiency and Energy Savings of Ukraine, State Service of Ukraine for Geodesy, Cartography and Cadastre. </w:t>
      </w:r>
    </w:p>
    <w:p w14:paraId="76F17AFE" w14:textId="77777777" w:rsidR="002379CE" w:rsidRPr="008D220A" w:rsidRDefault="002379CE" w:rsidP="002379CE">
      <w:pPr>
        <w:autoSpaceDE w:val="0"/>
        <w:autoSpaceDN w:val="0"/>
        <w:adjustRightInd w:val="0"/>
        <w:jc w:val="both"/>
        <w:rPr>
          <w:rFonts w:ascii="Arial" w:hAnsi="Arial" w:cs="Arial"/>
          <w:sz w:val="24"/>
          <w:szCs w:val="24"/>
        </w:rPr>
      </w:pPr>
    </w:p>
    <w:p w14:paraId="29084E2C" w14:textId="77777777" w:rsidR="002379CE" w:rsidRPr="008D220A" w:rsidRDefault="002379CE" w:rsidP="002379CE">
      <w:pPr>
        <w:jc w:val="both"/>
        <w:rPr>
          <w:rFonts w:ascii="Arial" w:hAnsi="Arial" w:cs="Arial"/>
          <w:sz w:val="24"/>
          <w:szCs w:val="24"/>
          <w:lang w:val="en-US"/>
        </w:rPr>
      </w:pPr>
      <w:r w:rsidRPr="008D220A">
        <w:rPr>
          <w:rFonts w:ascii="Arial" w:hAnsi="Arial" w:cs="Arial"/>
          <w:sz w:val="24"/>
          <w:szCs w:val="24"/>
          <w:lang w:val="en-US"/>
        </w:rPr>
        <w:t xml:space="preserve">In view of the above major change and inability to establish a Biomass Support Unit under any of the state level stakeholders (primarily because of their limited authority), the Project suggested </w:t>
      </w:r>
      <w:r w:rsidRPr="008D220A">
        <w:rPr>
          <w:rFonts w:ascii="Arial" w:hAnsi="Arial" w:cs="Arial"/>
          <w:bCs/>
          <w:sz w:val="24"/>
          <w:szCs w:val="24"/>
          <w:lang w:val="en-US"/>
        </w:rPr>
        <w:t>to establish an</w:t>
      </w:r>
      <w:r w:rsidRPr="008D220A">
        <w:rPr>
          <w:rFonts w:ascii="Arial" w:hAnsi="Arial" w:cs="Arial"/>
          <w:sz w:val="24"/>
          <w:szCs w:val="24"/>
          <w:lang w:val="en-US"/>
        </w:rPr>
        <w:t xml:space="preserve"> Interagency Biomass Working Group under the possible leadership of the </w:t>
      </w:r>
      <w:r w:rsidRPr="008D220A">
        <w:rPr>
          <w:rFonts w:ascii="Arial" w:hAnsi="Arial" w:cs="Arial"/>
          <w:bCs/>
          <w:sz w:val="24"/>
          <w:szCs w:val="24"/>
          <w:lang w:val="en-US"/>
        </w:rPr>
        <w:t xml:space="preserve">Ministry of Regional Development, Construction, Housing and Utilities of Ukraine </w:t>
      </w:r>
      <w:r w:rsidRPr="008D220A">
        <w:rPr>
          <w:rFonts w:ascii="Arial" w:hAnsi="Arial" w:cs="Arial"/>
          <w:sz w:val="24"/>
          <w:szCs w:val="24"/>
          <w:lang w:val="en-US"/>
        </w:rPr>
        <w:t xml:space="preserve">involving few key state executive bodies (the idea was presented and discussed during the First Project Board meeting held on 16 June 2015.) However, at the beginning of 2017 the suggested institutional arrangements have not been in place yet. </w:t>
      </w:r>
    </w:p>
    <w:p w14:paraId="3EABB70A" w14:textId="77777777" w:rsidR="002379CE" w:rsidRPr="008D220A" w:rsidRDefault="002379CE" w:rsidP="002379CE">
      <w:pPr>
        <w:jc w:val="both"/>
        <w:rPr>
          <w:rFonts w:ascii="Arial" w:hAnsi="Arial" w:cs="Arial"/>
          <w:sz w:val="24"/>
          <w:szCs w:val="24"/>
          <w:lang w:val="en-US"/>
        </w:rPr>
      </w:pPr>
    </w:p>
    <w:p w14:paraId="5C99D84B" w14:textId="77777777" w:rsidR="002379CE" w:rsidRPr="008D220A" w:rsidRDefault="002379CE" w:rsidP="002379CE">
      <w:pPr>
        <w:jc w:val="both"/>
        <w:rPr>
          <w:rFonts w:ascii="Arial" w:hAnsi="Arial" w:cs="Arial"/>
          <w:sz w:val="24"/>
          <w:szCs w:val="24"/>
          <w:lang w:val="en-US"/>
        </w:rPr>
      </w:pPr>
      <w:r w:rsidRPr="008D220A">
        <w:rPr>
          <w:rFonts w:ascii="Arial" w:hAnsi="Arial" w:cs="Arial"/>
          <w:sz w:val="24"/>
          <w:szCs w:val="24"/>
          <w:lang w:val="en-US"/>
        </w:rPr>
        <w:t xml:space="preserve">Meanwhile the Project has </w:t>
      </w:r>
      <w:r w:rsidRPr="008D220A">
        <w:rPr>
          <w:rFonts w:ascii="Arial" w:hAnsi="Arial" w:cs="Arial"/>
          <w:bCs/>
          <w:sz w:val="24"/>
          <w:szCs w:val="24"/>
        </w:rPr>
        <w:t>provided expert support to the Renewable Energy Working Group established on 08.12.2015 under</w:t>
      </w:r>
      <w:r w:rsidRPr="008D220A">
        <w:rPr>
          <w:rFonts w:ascii="Arial" w:hAnsi="Arial" w:cs="Arial"/>
          <w:sz w:val="24"/>
          <w:szCs w:val="24"/>
        </w:rPr>
        <w:t xml:space="preserve"> the State Agency on Energy Efficiency and Energy Saving of Ukraine</w:t>
      </w:r>
      <w:r w:rsidRPr="008D220A">
        <w:rPr>
          <w:rFonts w:ascii="Arial" w:hAnsi="Arial" w:cs="Arial"/>
          <w:sz w:val="24"/>
          <w:szCs w:val="24"/>
          <w:lang w:val="en-US"/>
        </w:rPr>
        <w:t xml:space="preserve">. This working group is not a full alternative to the Biomass Working Group or the Biomass Support Unit, but its mere existence is an important step to facilitate shaping state policy towards biomass utilization. </w:t>
      </w:r>
    </w:p>
    <w:p w14:paraId="150B9109" w14:textId="77777777" w:rsidR="002379CE" w:rsidRDefault="002379CE" w:rsidP="002379CE">
      <w:pPr>
        <w:jc w:val="both"/>
        <w:rPr>
          <w:rFonts w:ascii="Arial" w:hAnsi="Arial" w:cs="Arial"/>
          <w:sz w:val="24"/>
          <w:szCs w:val="24"/>
          <w:lang w:val="en-US"/>
        </w:rPr>
      </w:pPr>
    </w:p>
    <w:p w14:paraId="6AA83B7D" w14:textId="77777777" w:rsidR="008D220A" w:rsidRPr="008D220A" w:rsidRDefault="008D220A" w:rsidP="002379CE">
      <w:pPr>
        <w:jc w:val="both"/>
        <w:rPr>
          <w:rFonts w:ascii="Arial" w:hAnsi="Arial" w:cs="Arial"/>
          <w:sz w:val="24"/>
          <w:szCs w:val="24"/>
          <w:lang w:val="en-US"/>
        </w:rPr>
      </w:pPr>
    </w:p>
    <w:p w14:paraId="77C7CD4C" w14:textId="77777777" w:rsidR="002379CE" w:rsidRPr="008D220A" w:rsidRDefault="002379CE" w:rsidP="002379CE">
      <w:pPr>
        <w:jc w:val="both"/>
        <w:rPr>
          <w:rFonts w:ascii="Arial" w:hAnsi="Arial" w:cs="Arial"/>
          <w:sz w:val="24"/>
          <w:szCs w:val="24"/>
          <w:lang w:val="en-US"/>
        </w:rPr>
      </w:pPr>
      <w:r w:rsidRPr="008D220A">
        <w:rPr>
          <w:rFonts w:ascii="Arial" w:hAnsi="Arial" w:cs="Arial"/>
          <w:b/>
          <w:sz w:val="24"/>
          <w:szCs w:val="24"/>
          <w:lang w:val="en-US"/>
        </w:rPr>
        <w:t>Planned actions/activities for 2017:</w:t>
      </w:r>
      <w:r w:rsidRPr="008D220A">
        <w:rPr>
          <w:rFonts w:ascii="Arial" w:hAnsi="Arial" w:cs="Arial"/>
          <w:sz w:val="24"/>
          <w:szCs w:val="24"/>
          <w:lang w:val="en-US"/>
        </w:rPr>
        <w:t xml:space="preserve"> </w:t>
      </w:r>
    </w:p>
    <w:p w14:paraId="60BBC535" w14:textId="3F81C71C" w:rsidR="005F7855" w:rsidRPr="008D220A" w:rsidRDefault="00B210B1" w:rsidP="005C629E">
      <w:pPr>
        <w:pStyle w:val="af6"/>
        <w:numPr>
          <w:ilvl w:val="0"/>
          <w:numId w:val="4"/>
        </w:numPr>
        <w:spacing w:line="240" w:lineRule="auto"/>
        <w:ind w:left="284" w:hanging="284"/>
        <w:jc w:val="both"/>
        <w:rPr>
          <w:rFonts w:ascii="Arial" w:hAnsi="Arial" w:cs="Arial"/>
          <w:sz w:val="24"/>
          <w:szCs w:val="24"/>
        </w:rPr>
      </w:pPr>
      <w:r w:rsidRPr="008D220A">
        <w:rPr>
          <w:rFonts w:ascii="Arial" w:hAnsi="Arial" w:cs="Arial"/>
          <w:sz w:val="24"/>
          <w:szCs w:val="24"/>
        </w:rPr>
        <w:lastRenderedPageBreak/>
        <w:t>Identify, initiate and pursue, to the extent possible, cooperation with the key stakeholders across the Government to encourage them participate in and /or contribute to the establishment and functioning of the Interagency Bioenergy Working Group</w:t>
      </w:r>
      <w:r w:rsidR="005F7855" w:rsidRPr="008D220A">
        <w:rPr>
          <w:rFonts w:ascii="Arial" w:hAnsi="Arial" w:cs="Arial"/>
          <w:sz w:val="24"/>
          <w:szCs w:val="24"/>
        </w:rPr>
        <w:t>.</w:t>
      </w:r>
    </w:p>
    <w:p w14:paraId="5D79D49C" w14:textId="6769FA88" w:rsidR="005F7855" w:rsidRPr="008D220A" w:rsidRDefault="005F7855" w:rsidP="005C629E">
      <w:pPr>
        <w:pStyle w:val="af6"/>
        <w:numPr>
          <w:ilvl w:val="0"/>
          <w:numId w:val="4"/>
        </w:numPr>
        <w:spacing w:line="240" w:lineRule="auto"/>
        <w:ind w:left="284" w:hanging="284"/>
        <w:jc w:val="both"/>
        <w:rPr>
          <w:rFonts w:ascii="Arial" w:hAnsi="Arial" w:cs="Arial"/>
          <w:sz w:val="24"/>
          <w:szCs w:val="24"/>
        </w:rPr>
      </w:pPr>
      <w:r w:rsidRPr="008D220A">
        <w:rPr>
          <w:rFonts w:ascii="Arial" w:hAnsi="Arial" w:cs="Arial"/>
          <w:sz w:val="24"/>
          <w:szCs w:val="24"/>
        </w:rPr>
        <w:t>Help develop Regulations for the Interagency Bioenergy Working Group.</w:t>
      </w:r>
    </w:p>
    <w:p w14:paraId="219EC812" w14:textId="1C361284" w:rsidR="005F7855" w:rsidRPr="008D220A" w:rsidRDefault="005F7855" w:rsidP="005C629E">
      <w:pPr>
        <w:pStyle w:val="af6"/>
        <w:numPr>
          <w:ilvl w:val="0"/>
          <w:numId w:val="4"/>
        </w:numPr>
        <w:spacing w:line="240" w:lineRule="auto"/>
        <w:ind w:left="284" w:hanging="284"/>
        <w:jc w:val="both"/>
        <w:rPr>
          <w:rFonts w:ascii="Arial" w:hAnsi="Arial" w:cs="Arial"/>
          <w:sz w:val="24"/>
          <w:szCs w:val="24"/>
        </w:rPr>
      </w:pPr>
      <w:r w:rsidRPr="008D220A">
        <w:rPr>
          <w:rFonts w:ascii="Arial" w:hAnsi="Arial" w:cs="Arial"/>
          <w:sz w:val="24"/>
          <w:szCs w:val="24"/>
        </w:rPr>
        <w:t>Provide advisory and organizational support (as appropriate) for the establishment of an Interagency Bioenergy Working Group.</w:t>
      </w:r>
    </w:p>
    <w:p w14:paraId="471BE44E" w14:textId="6DEA3C73" w:rsidR="002379CE" w:rsidRPr="008D220A" w:rsidRDefault="002379CE" w:rsidP="005C629E">
      <w:pPr>
        <w:pStyle w:val="af6"/>
        <w:numPr>
          <w:ilvl w:val="0"/>
          <w:numId w:val="4"/>
        </w:numPr>
        <w:spacing w:line="240" w:lineRule="auto"/>
        <w:ind w:left="284" w:hanging="284"/>
        <w:jc w:val="both"/>
        <w:rPr>
          <w:rFonts w:ascii="Arial" w:hAnsi="Arial" w:cs="Arial"/>
          <w:sz w:val="24"/>
          <w:szCs w:val="24"/>
        </w:rPr>
      </w:pPr>
      <w:r w:rsidRPr="008D220A">
        <w:rPr>
          <w:rFonts w:ascii="Arial" w:hAnsi="Arial" w:cs="Arial"/>
          <w:sz w:val="24"/>
          <w:szCs w:val="24"/>
        </w:rPr>
        <w:t xml:space="preserve">Provide </w:t>
      </w:r>
      <w:r w:rsidR="00B210B1" w:rsidRPr="008D220A">
        <w:rPr>
          <w:rFonts w:ascii="Arial" w:hAnsi="Arial" w:cs="Arial"/>
          <w:sz w:val="24"/>
          <w:szCs w:val="24"/>
        </w:rPr>
        <w:t xml:space="preserve">technical and expert </w:t>
      </w:r>
      <w:r w:rsidRPr="008D220A">
        <w:rPr>
          <w:rFonts w:ascii="Arial" w:hAnsi="Arial" w:cs="Arial"/>
          <w:sz w:val="24"/>
          <w:szCs w:val="24"/>
        </w:rPr>
        <w:t xml:space="preserve">support to </w:t>
      </w:r>
      <w:r w:rsidR="00B210B1" w:rsidRPr="008D220A">
        <w:rPr>
          <w:rFonts w:ascii="Arial" w:hAnsi="Arial" w:cs="Arial"/>
          <w:sz w:val="24"/>
          <w:szCs w:val="24"/>
        </w:rPr>
        <w:t xml:space="preserve">the Interagency </w:t>
      </w:r>
      <w:r w:rsidRPr="008D220A">
        <w:rPr>
          <w:rFonts w:ascii="Arial" w:hAnsi="Arial" w:cs="Arial"/>
          <w:sz w:val="24"/>
          <w:szCs w:val="24"/>
        </w:rPr>
        <w:t>Biomass Support Working Group.</w:t>
      </w:r>
    </w:p>
    <w:p w14:paraId="0801D682" w14:textId="61711B28" w:rsidR="005F7855" w:rsidRPr="008D220A" w:rsidRDefault="005F7855" w:rsidP="005C629E">
      <w:pPr>
        <w:pStyle w:val="af6"/>
        <w:numPr>
          <w:ilvl w:val="0"/>
          <w:numId w:val="4"/>
        </w:numPr>
        <w:spacing w:line="240" w:lineRule="auto"/>
        <w:ind w:left="284" w:hanging="284"/>
        <w:jc w:val="both"/>
        <w:rPr>
          <w:rFonts w:ascii="Arial" w:hAnsi="Arial" w:cs="Arial"/>
          <w:sz w:val="24"/>
          <w:szCs w:val="24"/>
        </w:rPr>
      </w:pPr>
      <w:r w:rsidRPr="008D220A">
        <w:rPr>
          <w:rFonts w:ascii="Arial" w:hAnsi="Arial" w:cs="Arial"/>
          <w:sz w:val="24"/>
          <w:szCs w:val="24"/>
        </w:rPr>
        <w:t>Analyze international experience and best practices regarding methodological approaches for estimating GHG reduction by substitution of fossil fuels with solid biomass in the municipal sector.</w:t>
      </w:r>
    </w:p>
    <w:p w14:paraId="27EDBD96" w14:textId="4B2BB921" w:rsidR="005F7855" w:rsidRPr="008D220A" w:rsidRDefault="005F7855" w:rsidP="005C629E">
      <w:pPr>
        <w:pStyle w:val="af6"/>
        <w:numPr>
          <w:ilvl w:val="0"/>
          <w:numId w:val="4"/>
        </w:numPr>
        <w:spacing w:line="240" w:lineRule="auto"/>
        <w:ind w:left="284" w:hanging="284"/>
        <w:jc w:val="both"/>
        <w:rPr>
          <w:rFonts w:ascii="Arial" w:hAnsi="Arial" w:cs="Arial"/>
          <w:sz w:val="24"/>
          <w:szCs w:val="24"/>
        </w:rPr>
      </w:pPr>
      <w:r w:rsidRPr="008D220A">
        <w:rPr>
          <w:rFonts w:ascii="Arial" w:hAnsi="Arial" w:cs="Arial"/>
          <w:sz w:val="24"/>
          <w:szCs w:val="24"/>
        </w:rPr>
        <w:t>Analyze GHG emissions estimations from solid biomass according to the National GHG Inventory of Ukraine and IPCC 2006 Guidelines for national inventories.</w:t>
      </w:r>
    </w:p>
    <w:p w14:paraId="3C2724D6" w14:textId="77777777" w:rsidR="00084114" w:rsidRPr="008D220A" w:rsidRDefault="00084114" w:rsidP="00E852A5">
      <w:pPr>
        <w:jc w:val="both"/>
        <w:rPr>
          <w:rFonts w:ascii="Arial" w:hAnsi="Arial" w:cs="Arial"/>
          <w:b/>
          <w:bCs/>
          <w:sz w:val="24"/>
          <w:szCs w:val="24"/>
          <w:lang w:val="en-US"/>
        </w:rPr>
      </w:pPr>
    </w:p>
    <w:p w14:paraId="5DD06D17" w14:textId="77777777" w:rsidR="00E852A5" w:rsidRPr="008D220A" w:rsidRDefault="00E852A5" w:rsidP="00E852A5">
      <w:pPr>
        <w:tabs>
          <w:tab w:val="left" w:pos="4680"/>
        </w:tabs>
        <w:jc w:val="both"/>
        <w:rPr>
          <w:rFonts w:ascii="Arial" w:hAnsi="Arial" w:cs="Arial"/>
          <w:sz w:val="24"/>
          <w:szCs w:val="24"/>
          <w:lang w:val="en-US"/>
        </w:rPr>
      </w:pPr>
      <w:r w:rsidRPr="008D220A">
        <w:rPr>
          <w:rFonts w:ascii="Arial" w:hAnsi="Arial" w:cs="Arial"/>
          <w:b/>
          <w:bCs/>
          <w:sz w:val="24"/>
          <w:szCs w:val="24"/>
          <w:lang w:val="en-US"/>
        </w:rPr>
        <w:t>COMPONENT (ACTIVITY) 3:</w:t>
      </w:r>
      <w:r w:rsidRPr="008D220A">
        <w:rPr>
          <w:rFonts w:ascii="Arial" w:hAnsi="Arial" w:cs="Arial"/>
          <w:bCs/>
          <w:sz w:val="24"/>
          <w:szCs w:val="24"/>
          <w:lang w:val="en-US"/>
        </w:rPr>
        <w:t xml:space="preserve"> </w:t>
      </w:r>
      <w:r w:rsidRPr="008D220A">
        <w:rPr>
          <w:rFonts w:ascii="Arial" w:hAnsi="Arial" w:cs="Arial"/>
          <w:sz w:val="24"/>
          <w:szCs w:val="24"/>
          <w:lang w:val="en-US"/>
        </w:rPr>
        <w:t>Financial Support Mechanism and Pilot Projects.</w:t>
      </w:r>
    </w:p>
    <w:p w14:paraId="1FF5EABE" w14:textId="77777777" w:rsidR="00E852A5" w:rsidRPr="008D220A" w:rsidRDefault="00E852A5" w:rsidP="00E852A5">
      <w:pPr>
        <w:jc w:val="both"/>
        <w:rPr>
          <w:rFonts w:ascii="Arial" w:hAnsi="Arial" w:cs="Arial"/>
          <w:sz w:val="24"/>
          <w:szCs w:val="24"/>
          <w:lang w:val="en-US"/>
        </w:rPr>
      </w:pPr>
      <w:r w:rsidRPr="008D220A">
        <w:rPr>
          <w:rFonts w:ascii="Arial" w:hAnsi="Arial" w:cs="Arial"/>
          <w:sz w:val="24"/>
          <w:szCs w:val="24"/>
          <w:lang w:val="en-US"/>
        </w:rPr>
        <w:t>This activity is aimed to promote investments in municipal biomass through the establishment/strengthening of a Financial Support Mechanism (FSM) within financial institutions.</w:t>
      </w:r>
    </w:p>
    <w:p w14:paraId="383B3744" w14:textId="77777777" w:rsidR="00E852A5" w:rsidRPr="008D220A" w:rsidRDefault="00E852A5" w:rsidP="00E852A5">
      <w:pPr>
        <w:tabs>
          <w:tab w:val="left" w:pos="4680"/>
        </w:tabs>
        <w:jc w:val="both"/>
        <w:rPr>
          <w:rFonts w:ascii="Arial" w:hAnsi="Arial" w:cs="Arial"/>
          <w:sz w:val="24"/>
          <w:szCs w:val="24"/>
          <w:lang w:val="en-US"/>
        </w:rPr>
      </w:pPr>
    </w:p>
    <w:p w14:paraId="52C4070A" w14:textId="1360C2FF" w:rsidR="00E852A5" w:rsidRPr="008D220A" w:rsidRDefault="00E852A5" w:rsidP="00E852A5">
      <w:pPr>
        <w:jc w:val="both"/>
        <w:rPr>
          <w:rFonts w:ascii="Arial" w:hAnsi="Arial" w:cs="Arial"/>
          <w:b/>
          <w:sz w:val="24"/>
          <w:szCs w:val="24"/>
          <w:lang w:val="en-US"/>
        </w:rPr>
      </w:pPr>
      <w:r w:rsidRPr="008D220A">
        <w:rPr>
          <w:rFonts w:ascii="Arial" w:hAnsi="Arial" w:cs="Arial"/>
          <w:b/>
          <w:sz w:val="24"/>
          <w:szCs w:val="24"/>
          <w:lang w:val="en-US"/>
        </w:rPr>
        <w:t>Situation analysis at the beginning of 201</w:t>
      </w:r>
      <w:r w:rsidR="005C629E" w:rsidRPr="008D220A">
        <w:rPr>
          <w:rFonts w:ascii="Arial" w:hAnsi="Arial" w:cs="Arial"/>
          <w:b/>
          <w:sz w:val="24"/>
          <w:szCs w:val="24"/>
          <w:lang w:val="en-US"/>
        </w:rPr>
        <w:t>7</w:t>
      </w:r>
      <w:r w:rsidRPr="008D220A">
        <w:rPr>
          <w:rFonts w:ascii="Arial" w:hAnsi="Arial" w:cs="Arial"/>
          <w:b/>
          <w:sz w:val="24"/>
          <w:szCs w:val="24"/>
          <w:lang w:val="en-US"/>
        </w:rPr>
        <w:t>:</w:t>
      </w:r>
    </w:p>
    <w:p w14:paraId="318E7868" w14:textId="77777777" w:rsidR="00DE4621" w:rsidRPr="008D220A" w:rsidRDefault="00DE4621" w:rsidP="00DE4621">
      <w:pPr>
        <w:rPr>
          <w:rFonts w:ascii="Times" w:hAnsi="Times"/>
          <w:lang w:val="en-US" w:eastAsia="ru-RU"/>
        </w:rPr>
      </w:pPr>
    </w:p>
    <w:p w14:paraId="4727DCC5" w14:textId="3AFEADDF" w:rsidR="00B523B5" w:rsidRPr="008D220A" w:rsidRDefault="00DE4621" w:rsidP="009D317C">
      <w:pPr>
        <w:pStyle w:val="af6"/>
        <w:autoSpaceDE w:val="0"/>
        <w:autoSpaceDN w:val="0"/>
        <w:adjustRightInd w:val="0"/>
        <w:spacing w:after="0" w:line="240" w:lineRule="auto"/>
        <w:ind w:left="0"/>
        <w:jc w:val="both"/>
        <w:rPr>
          <w:rFonts w:ascii="Arial" w:hAnsi="Arial" w:cs="Arial"/>
          <w:sz w:val="24"/>
          <w:szCs w:val="24"/>
        </w:rPr>
      </w:pPr>
      <w:r w:rsidRPr="008D220A">
        <w:rPr>
          <w:rFonts w:ascii="Arial" w:hAnsi="Arial" w:cs="Arial"/>
          <w:sz w:val="24"/>
          <w:szCs w:val="24"/>
        </w:rPr>
        <w:t>The Project is to facilitate the removal of the key barrier to wide biomass deployment – availability of financial resources for municipalities to carry out infrastructure modernization, as the municipal lending in Ukraine has been almost non-existent since 2013.</w:t>
      </w:r>
      <w:r w:rsidRPr="008D220A">
        <w:t xml:space="preserve"> </w:t>
      </w:r>
      <w:r w:rsidR="00E852A5" w:rsidRPr="008D220A">
        <w:rPr>
          <w:rFonts w:ascii="Arial" w:hAnsi="Arial" w:cs="Arial"/>
          <w:sz w:val="24"/>
          <w:szCs w:val="24"/>
        </w:rPr>
        <w:t>To help provide access to finance for implementing municipal biomass projects, the Project is to set and strengthen a Financial Support Mechanism</w:t>
      </w:r>
      <w:r w:rsidR="001C368B" w:rsidRPr="008D220A">
        <w:rPr>
          <w:rFonts w:ascii="Arial" w:hAnsi="Arial" w:cs="Arial"/>
          <w:sz w:val="24"/>
          <w:szCs w:val="24"/>
        </w:rPr>
        <w:t xml:space="preserve"> (FSM)</w:t>
      </w:r>
      <w:r w:rsidR="00E852A5" w:rsidRPr="008D220A">
        <w:rPr>
          <w:rFonts w:ascii="Arial" w:hAnsi="Arial" w:cs="Arial"/>
          <w:sz w:val="24"/>
          <w:szCs w:val="24"/>
        </w:rPr>
        <w:t xml:space="preserve">. Originally, the project document envisaged </w:t>
      </w:r>
      <w:r w:rsidR="001C368B" w:rsidRPr="008D220A">
        <w:rPr>
          <w:rFonts w:ascii="Arial" w:hAnsi="Arial" w:cs="Arial"/>
          <w:sz w:val="24"/>
          <w:szCs w:val="24"/>
        </w:rPr>
        <w:t>the plan to establish</w:t>
      </w:r>
      <w:r w:rsidR="00E852A5" w:rsidRPr="008D220A">
        <w:rPr>
          <w:rFonts w:ascii="Arial" w:hAnsi="Arial" w:cs="Arial"/>
          <w:sz w:val="24"/>
          <w:szCs w:val="24"/>
        </w:rPr>
        <w:t xml:space="preserve"> </w:t>
      </w:r>
      <w:r w:rsidR="001C368B" w:rsidRPr="008D220A">
        <w:rPr>
          <w:rFonts w:ascii="Arial" w:hAnsi="Arial" w:cs="Arial"/>
          <w:sz w:val="24"/>
          <w:szCs w:val="24"/>
        </w:rPr>
        <w:t>the</w:t>
      </w:r>
      <w:r w:rsidR="00E852A5" w:rsidRPr="008D220A">
        <w:rPr>
          <w:rFonts w:ascii="Arial" w:hAnsi="Arial" w:cs="Arial"/>
          <w:sz w:val="24"/>
          <w:szCs w:val="24"/>
        </w:rPr>
        <w:t xml:space="preserve"> FSM </w:t>
      </w:r>
      <w:r w:rsidR="001C368B" w:rsidRPr="008D220A">
        <w:rPr>
          <w:rFonts w:ascii="Arial" w:hAnsi="Arial" w:cs="Arial"/>
          <w:sz w:val="24"/>
          <w:szCs w:val="24"/>
        </w:rPr>
        <w:t xml:space="preserve">in cooperation </w:t>
      </w:r>
      <w:r w:rsidR="00E852A5" w:rsidRPr="008D220A">
        <w:rPr>
          <w:rFonts w:ascii="Arial" w:hAnsi="Arial" w:cs="Arial"/>
          <w:sz w:val="24"/>
          <w:szCs w:val="24"/>
        </w:rPr>
        <w:t xml:space="preserve">within the state-owned DerzhZem bank. However, </w:t>
      </w:r>
      <w:r w:rsidR="00236057" w:rsidRPr="008D220A">
        <w:rPr>
          <w:rFonts w:ascii="Arial" w:hAnsi="Arial" w:cs="Arial"/>
          <w:sz w:val="24"/>
          <w:szCs w:val="24"/>
        </w:rPr>
        <w:t xml:space="preserve">political and institutional reforms in Ukraine in 2014 led to the liquidation of </w:t>
      </w:r>
      <w:r w:rsidR="00E852A5" w:rsidRPr="008D220A">
        <w:rPr>
          <w:rFonts w:ascii="Arial" w:hAnsi="Arial" w:cs="Arial"/>
          <w:sz w:val="24"/>
          <w:szCs w:val="24"/>
        </w:rPr>
        <w:t xml:space="preserve">the DerzhZem bank following the </w:t>
      </w:r>
      <w:r w:rsidR="007A07CD" w:rsidRPr="008D220A">
        <w:rPr>
          <w:rFonts w:ascii="Arial" w:hAnsi="Arial" w:cs="Arial"/>
          <w:sz w:val="24"/>
          <w:szCs w:val="24"/>
        </w:rPr>
        <w:t>Law “On amendments to some legislative acts of Ukraine (about functioning of the DerzhZem bank)” adopted</w:t>
      </w:r>
      <w:r w:rsidR="00E852A5" w:rsidRPr="008D220A">
        <w:rPr>
          <w:rFonts w:ascii="Arial" w:hAnsi="Arial" w:cs="Arial"/>
          <w:sz w:val="24"/>
          <w:szCs w:val="24"/>
        </w:rPr>
        <w:t xml:space="preserve"> </w:t>
      </w:r>
      <w:r w:rsidR="007A07CD" w:rsidRPr="008D220A">
        <w:rPr>
          <w:rFonts w:ascii="Arial" w:hAnsi="Arial" w:cs="Arial"/>
          <w:sz w:val="24"/>
          <w:szCs w:val="24"/>
        </w:rPr>
        <w:t xml:space="preserve">by the Ukrainian Parliament </w:t>
      </w:r>
      <w:r w:rsidR="00E852A5" w:rsidRPr="008D220A">
        <w:rPr>
          <w:rFonts w:ascii="Arial" w:hAnsi="Arial" w:cs="Arial"/>
          <w:sz w:val="24"/>
          <w:szCs w:val="24"/>
        </w:rPr>
        <w:t>in June 2014</w:t>
      </w:r>
      <w:r w:rsidR="00236057" w:rsidRPr="008D220A">
        <w:rPr>
          <w:rFonts w:ascii="Arial" w:hAnsi="Arial" w:cs="Arial"/>
          <w:sz w:val="24"/>
          <w:szCs w:val="24"/>
        </w:rPr>
        <w:t xml:space="preserve"> and subsequent Government decision </w:t>
      </w:r>
      <w:r w:rsidR="007A07CD" w:rsidRPr="008D220A">
        <w:rPr>
          <w:rFonts w:ascii="Arial" w:hAnsi="Arial" w:cs="Arial"/>
          <w:sz w:val="24"/>
          <w:szCs w:val="24"/>
        </w:rPr>
        <w:t xml:space="preserve">taken in September 2014. A new partner needed to be chosen to establish and implement the </w:t>
      </w:r>
      <w:r w:rsidR="009D317C" w:rsidRPr="008D220A">
        <w:rPr>
          <w:rFonts w:ascii="Arial" w:hAnsi="Arial" w:cs="Arial"/>
          <w:sz w:val="24"/>
          <w:szCs w:val="24"/>
        </w:rPr>
        <w:t>FSM</w:t>
      </w:r>
      <w:r w:rsidR="007A07CD" w:rsidRPr="008D220A">
        <w:rPr>
          <w:rFonts w:ascii="Arial" w:hAnsi="Arial" w:cs="Arial"/>
          <w:sz w:val="24"/>
          <w:szCs w:val="24"/>
        </w:rPr>
        <w:t xml:space="preserve">, as the operating procedures of UNDP meant that UNDP could not directly manage the FSM. </w:t>
      </w:r>
    </w:p>
    <w:p w14:paraId="32361342" w14:textId="77777777" w:rsidR="00B523B5" w:rsidRPr="008D220A" w:rsidRDefault="00B523B5" w:rsidP="009D317C">
      <w:pPr>
        <w:pStyle w:val="af6"/>
        <w:autoSpaceDE w:val="0"/>
        <w:autoSpaceDN w:val="0"/>
        <w:adjustRightInd w:val="0"/>
        <w:spacing w:after="0" w:line="240" w:lineRule="auto"/>
        <w:ind w:left="0"/>
        <w:jc w:val="both"/>
        <w:rPr>
          <w:rFonts w:ascii="Arial" w:hAnsi="Arial" w:cs="Arial"/>
          <w:sz w:val="24"/>
          <w:szCs w:val="24"/>
        </w:rPr>
      </w:pPr>
    </w:p>
    <w:p w14:paraId="5775DA87" w14:textId="3CE3C10C" w:rsidR="00B523B5" w:rsidRPr="008D220A" w:rsidRDefault="009D317C" w:rsidP="00B523B5">
      <w:pPr>
        <w:spacing w:after="200"/>
        <w:jc w:val="both"/>
        <w:rPr>
          <w:rFonts w:ascii="Arial" w:hAnsi="Arial" w:cs="Arial"/>
          <w:sz w:val="24"/>
          <w:szCs w:val="24"/>
        </w:rPr>
      </w:pPr>
      <w:r w:rsidRPr="008D220A">
        <w:rPr>
          <w:rFonts w:ascii="Arial" w:hAnsi="Arial" w:cs="Arial"/>
          <w:sz w:val="24"/>
          <w:szCs w:val="24"/>
        </w:rPr>
        <w:t xml:space="preserve">During 2015 </w:t>
      </w:r>
      <w:r w:rsidR="00E852A5" w:rsidRPr="008D220A">
        <w:rPr>
          <w:rFonts w:ascii="Arial" w:hAnsi="Arial" w:cs="Arial"/>
          <w:sz w:val="24"/>
          <w:szCs w:val="24"/>
        </w:rPr>
        <w:t xml:space="preserve">UNDP sought to identify a new partner for the </w:t>
      </w:r>
      <w:r w:rsidRPr="008D220A">
        <w:rPr>
          <w:rFonts w:ascii="Arial" w:hAnsi="Arial" w:cs="Arial"/>
          <w:sz w:val="24"/>
          <w:szCs w:val="24"/>
        </w:rPr>
        <w:t xml:space="preserve">FSM implementation and </w:t>
      </w:r>
      <w:r w:rsidR="00E852A5" w:rsidRPr="008D220A">
        <w:rPr>
          <w:rFonts w:ascii="Arial" w:hAnsi="Arial" w:cs="Arial"/>
          <w:sz w:val="24"/>
          <w:szCs w:val="24"/>
        </w:rPr>
        <w:t xml:space="preserve">engaged an International Consultant to help </w:t>
      </w:r>
      <w:r w:rsidRPr="008D220A">
        <w:rPr>
          <w:rFonts w:ascii="Arial" w:hAnsi="Arial" w:cs="Arial"/>
          <w:sz w:val="24"/>
          <w:szCs w:val="24"/>
        </w:rPr>
        <w:t xml:space="preserve">with this task. </w:t>
      </w:r>
      <w:r w:rsidR="00E852A5" w:rsidRPr="008D220A">
        <w:rPr>
          <w:rFonts w:ascii="Arial" w:hAnsi="Arial" w:cs="Arial"/>
          <w:sz w:val="24"/>
          <w:szCs w:val="24"/>
        </w:rPr>
        <w:t xml:space="preserve">As an outcome of the consultations and analysis, </w:t>
      </w:r>
      <w:r w:rsidR="00B523B5" w:rsidRPr="008D220A">
        <w:rPr>
          <w:rFonts w:ascii="Arial" w:hAnsi="Arial" w:cs="Arial"/>
          <w:sz w:val="24"/>
          <w:szCs w:val="24"/>
        </w:rPr>
        <w:t xml:space="preserve">in late 2015 </w:t>
      </w:r>
      <w:r w:rsidR="00E852A5" w:rsidRPr="008D220A">
        <w:rPr>
          <w:rFonts w:ascii="Arial" w:hAnsi="Arial" w:cs="Arial"/>
          <w:sz w:val="24"/>
          <w:szCs w:val="24"/>
        </w:rPr>
        <w:t>the negotiations have started with the International Finance Corporation (IFC) office in Ukraine to involve it as the FSM development and implementation partne</w:t>
      </w:r>
      <w:r w:rsidR="00B523B5" w:rsidRPr="008D220A">
        <w:rPr>
          <w:rFonts w:ascii="Arial" w:hAnsi="Arial" w:cs="Arial"/>
          <w:sz w:val="24"/>
          <w:szCs w:val="24"/>
        </w:rPr>
        <w:t xml:space="preserve">r because a sustainable mechanism could be launched either by a Ukrainian bank or banks or by a reputable international financial institution. </w:t>
      </w:r>
      <w:r w:rsidR="00236057" w:rsidRPr="008D220A">
        <w:rPr>
          <w:rFonts w:ascii="Arial" w:hAnsi="Arial" w:cs="Arial"/>
          <w:sz w:val="24"/>
          <w:szCs w:val="24"/>
        </w:rPr>
        <w:t xml:space="preserve">Being the part of World Bank group, IFC is the only UN sister agency that possesses a high-level professional expertise in the state/private sector finance and could provide this knowledge to other UN family members within an interagency partnership. IFC correspondingly has an extensive experience in development of such type of FSMs in the RBEC region and in Ukraine in particular. </w:t>
      </w:r>
      <w:r w:rsidR="00B523B5" w:rsidRPr="008D220A">
        <w:rPr>
          <w:rFonts w:ascii="Arial" w:hAnsi="Arial" w:cs="Arial"/>
          <w:sz w:val="24"/>
          <w:szCs w:val="24"/>
          <w:lang w:val="en-US"/>
        </w:rPr>
        <w:t xml:space="preserve">As a result of the advanced discussions a local financial institution – the state-owned bank “Oshchadbank” (the second largest bank in Ukraine with over 6000 branches) has been selected as a partner for </w:t>
      </w:r>
      <w:r w:rsidR="0078730D" w:rsidRPr="008D220A">
        <w:rPr>
          <w:rFonts w:ascii="Arial" w:hAnsi="Arial" w:cs="Arial"/>
          <w:sz w:val="24"/>
          <w:szCs w:val="24"/>
          <w:lang w:val="en-US"/>
        </w:rPr>
        <w:t xml:space="preserve">launching a </w:t>
      </w:r>
      <w:r w:rsidR="0078730D" w:rsidRPr="008D220A">
        <w:rPr>
          <w:rFonts w:ascii="Arial" w:hAnsi="Arial" w:cs="Arial"/>
          <w:sz w:val="24"/>
          <w:szCs w:val="24"/>
        </w:rPr>
        <w:t>financial product that</w:t>
      </w:r>
      <w:r w:rsidR="00FB7209" w:rsidRPr="008D220A">
        <w:rPr>
          <w:rFonts w:ascii="Arial" w:hAnsi="Arial" w:cs="Arial"/>
          <w:sz w:val="24"/>
          <w:szCs w:val="24"/>
        </w:rPr>
        <w:t xml:space="preserve"> </w:t>
      </w:r>
      <w:r w:rsidR="00FB7209" w:rsidRPr="008D220A">
        <w:rPr>
          <w:rFonts w:ascii="Arial" w:hAnsi="Arial" w:cs="Arial"/>
          <w:sz w:val="24"/>
          <w:szCs w:val="24"/>
          <w:lang w:val="en-US"/>
        </w:rPr>
        <w:t>is meant</w:t>
      </w:r>
      <w:r w:rsidR="0078730D" w:rsidRPr="008D220A">
        <w:rPr>
          <w:rFonts w:ascii="Arial" w:hAnsi="Arial" w:cs="Arial"/>
          <w:sz w:val="24"/>
          <w:szCs w:val="24"/>
        </w:rPr>
        <w:t xml:space="preserve"> to be a key result of the FSM.</w:t>
      </w:r>
    </w:p>
    <w:p w14:paraId="603C7D42" w14:textId="210F36EE" w:rsidR="00236057" w:rsidRPr="008D220A" w:rsidRDefault="00B523B5" w:rsidP="00236057">
      <w:pPr>
        <w:jc w:val="both"/>
        <w:rPr>
          <w:rFonts w:ascii="Arial" w:hAnsi="Arial" w:cs="Arial"/>
          <w:b/>
          <w:sz w:val="24"/>
          <w:szCs w:val="24"/>
          <w:lang w:val="en-US"/>
        </w:rPr>
      </w:pPr>
      <w:r w:rsidRPr="008D220A">
        <w:rPr>
          <w:rFonts w:ascii="Arial" w:hAnsi="Arial" w:cs="Arial"/>
          <w:sz w:val="24"/>
          <w:szCs w:val="24"/>
        </w:rPr>
        <w:t xml:space="preserve">After a year-long negotiations and </w:t>
      </w:r>
      <w:r w:rsidR="00A078B2" w:rsidRPr="008D220A">
        <w:rPr>
          <w:rFonts w:ascii="Arial" w:hAnsi="Arial" w:cs="Arial"/>
          <w:sz w:val="24"/>
          <w:szCs w:val="24"/>
        </w:rPr>
        <w:t xml:space="preserve">lengthy </w:t>
      </w:r>
      <w:r w:rsidR="00A078B2" w:rsidRPr="008D220A">
        <w:rPr>
          <w:rFonts w:ascii="Arial" w:hAnsi="Arial" w:cs="Arial"/>
          <w:sz w:val="24"/>
          <w:szCs w:val="24"/>
          <w:lang w:val="en-US"/>
        </w:rPr>
        <w:t>legal disputes between UNDP and World Bank (IFC) legal offices on the format and details of the agreement</w:t>
      </w:r>
      <w:r w:rsidR="00A078B2" w:rsidRPr="008D220A">
        <w:rPr>
          <w:rFonts w:ascii="Arial" w:hAnsi="Arial" w:cs="Arial"/>
          <w:sz w:val="24"/>
          <w:szCs w:val="24"/>
        </w:rPr>
        <w:t xml:space="preserve">, </w:t>
      </w:r>
      <w:r w:rsidR="00A078B2" w:rsidRPr="008D220A">
        <w:rPr>
          <w:rFonts w:ascii="Arial" w:hAnsi="Arial" w:cs="Arial"/>
          <w:sz w:val="24"/>
          <w:szCs w:val="24"/>
          <w:u w:val="single"/>
        </w:rPr>
        <w:t xml:space="preserve">the IFC has been finally engaged </w:t>
      </w:r>
      <w:r w:rsidR="00A078B2" w:rsidRPr="008D220A">
        <w:rPr>
          <w:rFonts w:ascii="Arial" w:hAnsi="Arial" w:cs="Arial"/>
          <w:sz w:val="24"/>
          <w:szCs w:val="24"/>
          <w:u w:val="single"/>
          <w:lang w:val="en-US"/>
        </w:rPr>
        <w:t>via the International Bank for Reconstruction and Development (also a part of the World Bank group) under the Agreement for the Banking products for EE projects Externally Financed Output signed between the United Nations Development Programme and the International Bank for Reconstruction and Development in December 2016.</w:t>
      </w:r>
    </w:p>
    <w:p w14:paraId="7A976BA0" w14:textId="77777777" w:rsidR="00236057" w:rsidRPr="008D220A" w:rsidRDefault="00236057" w:rsidP="00E852A5">
      <w:pPr>
        <w:pStyle w:val="af6"/>
        <w:autoSpaceDE w:val="0"/>
        <w:autoSpaceDN w:val="0"/>
        <w:adjustRightInd w:val="0"/>
        <w:spacing w:after="0" w:line="240" w:lineRule="auto"/>
        <w:ind w:left="0"/>
        <w:jc w:val="both"/>
        <w:rPr>
          <w:rFonts w:ascii="Arial" w:hAnsi="Arial" w:cs="Arial"/>
          <w:sz w:val="24"/>
          <w:szCs w:val="24"/>
        </w:rPr>
      </w:pPr>
    </w:p>
    <w:p w14:paraId="32608397" w14:textId="34C4C247" w:rsidR="0060420D" w:rsidRPr="008D220A" w:rsidRDefault="00E852A5" w:rsidP="0060420D">
      <w:pPr>
        <w:jc w:val="both"/>
        <w:rPr>
          <w:rFonts w:ascii="Arial" w:hAnsi="Arial" w:cs="Arial"/>
          <w:sz w:val="24"/>
          <w:szCs w:val="24"/>
          <w:lang w:val="en-US"/>
        </w:rPr>
      </w:pPr>
      <w:r w:rsidRPr="008D220A">
        <w:rPr>
          <w:rFonts w:ascii="Arial" w:hAnsi="Arial" w:cs="Arial"/>
          <w:sz w:val="24"/>
          <w:szCs w:val="24"/>
          <w:lang w:val="en-US"/>
        </w:rPr>
        <w:t xml:space="preserve">Promotion of biomass utilization for municipal </w:t>
      </w:r>
      <w:r w:rsidR="0060420D" w:rsidRPr="008D220A">
        <w:rPr>
          <w:rFonts w:ascii="Arial" w:hAnsi="Arial" w:cs="Arial"/>
          <w:sz w:val="24"/>
          <w:szCs w:val="24"/>
          <w:lang w:val="en-US"/>
        </w:rPr>
        <w:t xml:space="preserve">heat and hot water supply </w:t>
      </w:r>
      <w:r w:rsidRPr="008D220A">
        <w:rPr>
          <w:rFonts w:ascii="Arial" w:hAnsi="Arial" w:cs="Arial"/>
          <w:sz w:val="24"/>
          <w:szCs w:val="24"/>
          <w:lang w:val="en-US"/>
        </w:rPr>
        <w:t xml:space="preserve">has been another important task of the project. </w:t>
      </w:r>
      <w:r w:rsidR="0060420D" w:rsidRPr="008D220A">
        <w:rPr>
          <w:rFonts w:ascii="Arial" w:hAnsi="Arial" w:cs="Arial"/>
          <w:sz w:val="24"/>
          <w:szCs w:val="24"/>
          <w:lang w:val="en-US"/>
        </w:rPr>
        <w:t xml:space="preserve">During 2015-2016, </w:t>
      </w:r>
      <w:r w:rsidR="0060420D" w:rsidRPr="008D220A">
        <w:rPr>
          <w:rFonts w:ascii="Arial" w:hAnsi="Arial" w:cs="Arial"/>
          <w:sz w:val="24"/>
          <w:szCs w:val="24"/>
          <w:u w:val="single"/>
          <w:lang w:val="en-US"/>
        </w:rPr>
        <w:t>12 biomass demonstration projects were implemented in 3 pilot regions and 12 straw-fired boilers with 220 kW thermal capacities installed and started operation.</w:t>
      </w:r>
      <w:r w:rsidR="0060420D" w:rsidRPr="008D220A">
        <w:rPr>
          <w:rFonts w:ascii="Arial" w:hAnsi="Arial" w:cs="Arial"/>
          <w:sz w:val="24"/>
          <w:szCs w:val="24"/>
          <w:lang w:val="en-US"/>
        </w:rPr>
        <w:t xml:space="preserve"> GHG emissions reduction resulted from the biomass projects implementation so far equals to 2,889 t CO</w:t>
      </w:r>
      <w:r w:rsidR="0060420D" w:rsidRPr="008D220A">
        <w:rPr>
          <w:rFonts w:ascii="Arial" w:hAnsi="Arial" w:cs="Arial"/>
          <w:sz w:val="24"/>
          <w:szCs w:val="24"/>
          <w:vertAlign w:val="subscript"/>
          <w:lang w:val="en-US"/>
        </w:rPr>
        <w:t>2</w:t>
      </w:r>
      <w:r w:rsidR="0060420D" w:rsidRPr="008D220A">
        <w:rPr>
          <w:rFonts w:ascii="Arial" w:hAnsi="Arial" w:cs="Arial"/>
          <w:sz w:val="24"/>
          <w:szCs w:val="24"/>
          <w:lang w:val="en-US"/>
        </w:rPr>
        <w:t xml:space="preserve"> or 72,228 t CO2 within the estimated </w:t>
      </w:r>
      <w:r w:rsidR="00377C94" w:rsidRPr="008D220A">
        <w:rPr>
          <w:rFonts w:ascii="Arial" w:hAnsi="Arial" w:cs="Arial"/>
          <w:sz w:val="24"/>
          <w:szCs w:val="24"/>
          <w:lang w:val="en-US"/>
        </w:rPr>
        <w:t>life</w:t>
      </w:r>
      <w:r w:rsidR="0060420D" w:rsidRPr="008D220A">
        <w:rPr>
          <w:rFonts w:ascii="Arial" w:hAnsi="Arial" w:cs="Arial"/>
          <w:sz w:val="24"/>
          <w:szCs w:val="24"/>
          <w:lang w:val="en-US"/>
        </w:rPr>
        <w:t xml:space="preserve">time of the installed equipment </w:t>
      </w:r>
      <w:r w:rsidR="008B7955" w:rsidRPr="008D220A">
        <w:rPr>
          <w:rFonts w:ascii="Arial" w:hAnsi="Arial" w:cs="Arial"/>
          <w:sz w:val="24"/>
          <w:szCs w:val="24"/>
          <w:lang w:val="en-US"/>
        </w:rPr>
        <w:t>(</w:t>
      </w:r>
      <w:r w:rsidR="0060420D" w:rsidRPr="008D220A">
        <w:rPr>
          <w:rFonts w:ascii="Arial" w:hAnsi="Arial" w:cs="Arial"/>
          <w:sz w:val="24"/>
          <w:szCs w:val="24"/>
          <w:lang w:val="en-US"/>
        </w:rPr>
        <w:t>20 years</w:t>
      </w:r>
      <w:r w:rsidR="008B7955" w:rsidRPr="008D220A">
        <w:rPr>
          <w:rFonts w:ascii="Arial" w:hAnsi="Arial" w:cs="Arial"/>
          <w:sz w:val="24"/>
          <w:szCs w:val="24"/>
          <w:lang w:val="en-US"/>
        </w:rPr>
        <w:t>)</w:t>
      </w:r>
      <w:r w:rsidR="0060420D" w:rsidRPr="008D220A">
        <w:rPr>
          <w:rFonts w:ascii="Arial" w:hAnsi="Arial" w:cs="Arial"/>
          <w:sz w:val="24"/>
          <w:szCs w:val="24"/>
          <w:lang w:val="en-US"/>
        </w:rPr>
        <w:t>.</w:t>
      </w:r>
    </w:p>
    <w:p w14:paraId="4C405028" w14:textId="77777777" w:rsidR="00FA1AEC" w:rsidRPr="008D220A" w:rsidRDefault="00FA1AEC" w:rsidP="0060420D">
      <w:pPr>
        <w:jc w:val="both"/>
        <w:rPr>
          <w:rFonts w:ascii="Arial" w:hAnsi="Arial" w:cs="Arial"/>
          <w:sz w:val="24"/>
          <w:szCs w:val="24"/>
          <w:lang w:val="en-US"/>
        </w:rPr>
      </w:pPr>
    </w:p>
    <w:p w14:paraId="528B78A2" w14:textId="6A88FE37" w:rsidR="00FA1AEC" w:rsidRPr="008D220A" w:rsidRDefault="00FA1AEC" w:rsidP="0060420D">
      <w:pPr>
        <w:jc w:val="both"/>
        <w:rPr>
          <w:rFonts w:ascii="Arial" w:hAnsi="Arial" w:cs="Arial"/>
          <w:sz w:val="24"/>
          <w:szCs w:val="24"/>
          <w:lang w:val="en-US"/>
        </w:rPr>
      </w:pPr>
      <w:r w:rsidRPr="008D220A">
        <w:rPr>
          <w:rFonts w:ascii="Arial" w:hAnsi="Arial" w:cs="Arial"/>
          <w:sz w:val="24"/>
          <w:szCs w:val="24"/>
          <w:lang w:val="en-US"/>
        </w:rPr>
        <w:t xml:space="preserve">Additionally, </w:t>
      </w:r>
      <w:r w:rsidRPr="008D220A">
        <w:rPr>
          <w:rFonts w:ascii="Arial" w:hAnsi="Arial" w:cs="Arial"/>
          <w:sz w:val="24"/>
          <w:szCs w:val="24"/>
          <w:u w:val="single"/>
          <w:lang w:val="en-US"/>
        </w:rPr>
        <w:t>3 pilots on creation of energy crops nurseries (3 energy willow mother plantations of 5 hectares each) in three regions of Ukraine with different climate and soil characteristics were implemented during March-November 2016</w:t>
      </w:r>
      <w:r w:rsidRPr="008D220A">
        <w:rPr>
          <w:rFonts w:ascii="Arial" w:hAnsi="Arial" w:cs="Arial"/>
          <w:sz w:val="24"/>
          <w:szCs w:val="24"/>
          <w:lang w:val="en-US"/>
        </w:rPr>
        <w:t xml:space="preserve"> in cooperation with the GEF Small Grant Programme and local environmental NGOs to promote commercial cultivation of energy crops among local farmers and land-owners. These 3 pilots are important because they have showcased opportunities for energy crop cultivation and provided valuable input from the lessons learnt on the ground for further development. The information gathered from these pilots was used to feed in the ‘Regional Biomass Programmes’ developed under the Project Component 1. At the national level, the purpose of the pilots has been to demonstrate that biomass planting is </w:t>
      </w:r>
      <w:r w:rsidR="00204355" w:rsidRPr="008D220A">
        <w:rPr>
          <w:rFonts w:ascii="Arial" w:hAnsi="Arial" w:cs="Arial"/>
          <w:sz w:val="24"/>
          <w:szCs w:val="24"/>
          <w:lang w:val="en-US"/>
        </w:rPr>
        <w:t xml:space="preserve">a </w:t>
      </w:r>
      <w:r w:rsidRPr="008D220A">
        <w:rPr>
          <w:rFonts w:ascii="Arial" w:hAnsi="Arial" w:cs="Arial"/>
          <w:sz w:val="24"/>
          <w:szCs w:val="24"/>
          <w:lang w:val="en-US"/>
        </w:rPr>
        <w:t>feasible endeavor worth pursuing</w:t>
      </w:r>
      <w:r w:rsidR="00204355" w:rsidRPr="008D220A">
        <w:rPr>
          <w:rFonts w:ascii="Arial" w:hAnsi="Arial" w:cs="Arial"/>
          <w:sz w:val="24"/>
          <w:szCs w:val="24"/>
          <w:lang w:val="en-US"/>
        </w:rPr>
        <w:t>;</w:t>
      </w:r>
      <w:r w:rsidRPr="008D220A">
        <w:rPr>
          <w:rFonts w:ascii="Arial" w:hAnsi="Arial" w:cs="Arial"/>
          <w:sz w:val="24"/>
          <w:szCs w:val="24"/>
          <w:lang w:val="en-US"/>
        </w:rPr>
        <w:t xml:space="preserve"> </w:t>
      </w:r>
      <w:r w:rsidR="00204355" w:rsidRPr="008D220A">
        <w:rPr>
          <w:rFonts w:ascii="Arial" w:hAnsi="Arial" w:cs="Arial"/>
          <w:sz w:val="24"/>
          <w:szCs w:val="24"/>
          <w:lang w:val="en-US"/>
        </w:rPr>
        <w:t xml:space="preserve">and </w:t>
      </w:r>
      <w:r w:rsidRPr="008D220A">
        <w:rPr>
          <w:rFonts w:ascii="Arial" w:hAnsi="Arial" w:cs="Arial"/>
          <w:sz w:val="24"/>
          <w:szCs w:val="24"/>
          <w:lang w:val="en-US"/>
        </w:rPr>
        <w:t xml:space="preserve">that </w:t>
      </w:r>
      <w:r w:rsidR="00204355" w:rsidRPr="008D220A">
        <w:rPr>
          <w:rFonts w:ascii="Arial" w:hAnsi="Arial" w:cs="Arial"/>
          <w:sz w:val="24"/>
          <w:szCs w:val="24"/>
          <w:lang w:val="en-US"/>
        </w:rPr>
        <w:t xml:space="preserve">it </w:t>
      </w:r>
      <w:r w:rsidRPr="008D220A">
        <w:rPr>
          <w:rFonts w:ascii="Arial" w:hAnsi="Arial" w:cs="Arial"/>
          <w:sz w:val="24"/>
          <w:szCs w:val="24"/>
          <w:lang w:val="en-US"/>
        </w:rPr>
        <w:t xml:space="preserve">can be upscaled at a commercial level and play a potentially significant role in helping Ukraine meet its </w:t>
      </w:r>
      <w:r w:rsidRPr="008D220A">
        <w:rPr>
          <w:rFonts w:ascii="Arial" w:hAnsi="Arial" w:cs="Arial"/>
          <w:sz w:val="24"/>
          <w:szCs w:val="24"/>
          <w:shd w:val="clear" w:color="auto" w:fill="FFFFFF"/>
          <w:lang w:val="en-US"/>
        </w:rPr>
        <w:t>energy and heating needs.</w:t>
      </w:r>
    </w:p>
    <w:p w14:paraId="7F92A96D" w14:textId="77777777" w:rsidR="006D215B" w:rsidRPr="008D220A" w:rsidRDefault="006D215B" w:rsidP="00E852A5">
      <w:pPr>
        <w:jc w:val="both"/>
        <w:rPr>
          <w:rFonts w:ascii="Arial" w:hAnsi="Arial" w:cs="Arial"/>
          <w:b/>
          <w:sz w:val="24"/>
          <w:szCs w:val="24"/>
          <w:lang w:val="en-US"/>
        </w:rPr>
      </w:pPr>
    </w:p>
    <w:p w14:paraId="4A0C11DD" w14:textId="5FBB1DF4" w:rsidR="00E852A5" w:rsidRPr="008D220A" w:rsidRDefault="00E852A5" w:rsidP="00E852A5">
      <w:pPr>
        <w:jc w:val="both"/>
        <w:rPr>
          <w:rFonts w:ascii="Arial" w:hAnsi="Arial" w:cs="Arial"/>
          <w:sz w:val="24"/>
          <w:szCs w:val="24"/>
          <w:lang w:val="en-US"/>
        </w:rPr>
      </w:pPr>
      <w:r w:rsidRPr="008D220A">
        <w:rPr>
          <w:rFonts w:ascii="Arial" w:hAnsi="Arial" w:cs="Arial"/>
          <w:b/>
          <w:sz w:val="24"/>
          <w:szCs w:val="24"/>
          <w:lang w:val="en-US"/>
        </w:rPr>
        <w:t>Planned actions/activities for 201</w:t>
      </w:r>
      <w:r w:rsidR="00C86FB7" w:rsidRPr="008D220A">
        <w:rPr>
          <w:rFonts w:ascii="Arial" w:hAnsi="Arial" w:cs="Arial"/>
          <w:b/>
          <w:sz w:val="24"/>
          <w:szCs w:val="24"/>
          <w:lang w:val="en-US"/>
        </w:rPr>
        <w:t>7</w:t>
      </w:r>
      <w:r w:rsidRPr="008D220A">
        <w:rPr>
          <w:rFonts w:ascii="Arial" w:hAnsi="Arial" w:cs="Arial"/>
          <w:b/>
          <w:sz w:val="24"/>
          <w:szCs w:val="24"/>
          <w:lang w:val="en-US"/>
        </w:rPr>
        <w:t>:</w:t>
      </w:r>
      <w:r w:rsidRPr="008D220A">
        <w:rPr>
          <w:rFonts w:ascii="Arial" w:hAnsi="Arial" w:cs="Arial"/>
          <w:sz w:val="24"/>
          <w:szCs w:val="24"/>
          <w:lang w:val="en-US"/>
        </w:rPr>
        <w:t xml:space="preserve"> </w:t>
      </w:r>
    </w:p>
    <w:p w14:paraId="4C162653" w14:textId="576E2763" w:rsidR="00E852A5" w:rsidRPr="008D220A" w:rsidRDefault="00E852A5" w:rsidP="00377C94">
      <w:pPr>
        <w:pStyle w:val="af6"/>
        <w:numPr>
          <w:ilvl w:val="0"/>
          <w:numId w:val="5"/>
        </w:numPr>
        <w:spacing w:line="240" w:lineRule="auto"/>
        <w:ind w:left="284" w:hanging="284"/>
        <w:jc w:val="both"/>
        <w:rPr>
          <w:rFonts w:ascii="Arial" w:hAnsi="Arial" w:cs="Arial"/>
          <w:sz w:val="24"/>
          <w:szCs w:val="24"/>
        </w:rPr>
      </w:pPr>
      <w:r w:rsidRPr="008D220A">
        <w:rPr>
          <w:rFonts w:ascii="Arial" w:hAnsi="Arial" w:cs="Arial"/>
          <w:sz w:val="24"/>
          <w:szCs w:val="24"/>
        </w:rPr>
        <w:t xml:space="preserve">Develop </w:t>
      </w:r>
      <w:r w:rsidR="00143AF3" w:rsidRPr="008D220A">
        <w:rPr>
          <w:rFonts w:ascii="Arial" w:hAnsi="Arial" w:cs="Arial"/>
          <w:sz w:val="24"/>
          <w:szCs w:val="24"/>
        </w:rPr>
        <w:t xml:space="preserve">and launch </w:t>
      </w:r>
      <w:r w:rsidRPr="008D220A">
        <w:rPr>
          <w:rFonts w:ascii="Arial" w:hAnsi="Arial" w:cs="Arial"/>
          <w:sz w:val="24"/>
          <w:szCs w:val="24"/>
        </w:rPr>
        <w:t>Financial Support Mechanism in cooperation with International Finance Corporation.</w:t>
      </w:r>
    </w:p>
    <w:p w14:paraId="0E7F24D5" w14:textId="77777777" w:rsidR="00C07482" w:rsidRPr="008D220A" w:rsidRDefault="00143AF3" w:rsidP="00377C94">
      <w:pPr>
        <w:pStyle w:val="af6"/>
        <w:numPr>
          <w:ilvl w:val="0"/>
          <w:numId w:val="5"/>
        </w:numPr>
        <w:spacing w:line="240" w:lineRule="auto"/>
        <w:ind w:left="284" w:hanging="284"/>
        <w:jc w:val="both"/>
        <w:rPr>
          <w:rFonts w:ascii="Arial" w:hAnsi="Arial" w:cs="Arial"/>
          <w:sz w:val="24"/>
          <w:szCs w:val="24"/>
        </w:rPr>
      </w:pPr>
      <w:r w:rsidRPr="008D220A">
        <w:rPr>
          <w:rFonts w:ascii="Arial" w:hAnsi="Arial" w:cs="Arial"/>
          <w:sz w:val="24"/>
          <w:szCs w:val="24"/>
        </w:rPr>
        <w:t>Provide technical assistance to pilot projects (municipalities)</w:t>
      </w:r>
      <w:r w:rsidR="00C07482" w:rsidRPr="008D220A">
        <w:rPr>
          <w:rFonts w:ascii="Arial" w:hAnsi="Arial" w:cs="Arial"/>
          <w:sz w:val="24"/>
          <w:szCs w:val="24"/>
        </w:rPr>
        <w:t xml:space="preserve"> within implementation of the financial support mechanism. </w:t>
      </w:r>
    </w:p>
    <w:p w14:paraId="488B8A42" w14:textId="0EBC3451" w:rsidR="00E852A5" w:rsidRPr="008D220A" w:rsidRDefault="007A4FE4" w:rsidP="00F81713">
      <w:pPr>
        <w:pStyle w:val="af6"/>
        <w:numPr>
          <w:ilvl w:val="0"/>
          <w:numId w:val="5"/>
        </w:numPr>
        <w:spacing w:line="240" w:lineRule="auto"/>
        <w:ind w:left="284" w:hanging="284"/>
        <w:jc w:val="both"/>
        <w:rPr>
          <w:rFonts w:ascii="Arial" w:hAnsi="Arial" w:cs="Arial"/>
          <w:sz w:val="24"/>
          <w:szCs w:val="24"/>
        </w:rPr>
      </w:pPr>
      <w:r w:rsidRPr="008D220A">
        <w:rPr>
          <w:rFonts w:ascii="Arial" w:hAnsi="Arial" w:cs="Arial"/>
          <w:sz w:val="24"/>
          <w:szCs w:val="24"/>
        </w:rPr>
        <w:t xml:space="preserve">Organize all-Ukrainian </w:t>
      </w:r>
      <w:r w:rsidR="00A44ABC" w:rsidRPr="008D220A">
        <w:rPr>
          <w:rFonts w:ascii="Arial" w:hAnsi="Arial" w:cs="Arial"/>
          <w:sz w:val="24"/>
          <w:szCs w:val="24"/>
        </w:rPr>
        <w:t>A</w:t>
      </w:r>
      <w:r w:rsidRPr="008D220A">
        <w:rPr>
          <w:rFonts w:ascii="Arial" w:hAnsi="Arial" w:cs="Arial"/>
          <w:sz w:val="24"/>
          <w:szCs w:val="24"/>
        </w:rPr>
        <w:t xml:space="preserve">wareness </w:t>
      </w:r>
      <w:r w:rsidR="00A44ABC" w:rsidRPr="008D220A">
        <w:rPr>
          <w:rFonts w:ascii="Arial" w:hAnsi="Arial" w:cs="Arial"/>
          <w:sz w:val="24"/>
          <w:szCs w:val="24"/>
        </w:rPr>
        <w:t>and Capacity Building C</w:t>
      </w:r>
      <w:r w:rsidRPr="008D220A">
        <w:rPr>
          <w:rFonts w:ascii="Arial" w:hAnsi="Arial" w:cs="Arial"/>
          <w:sz w:val="24"/>
          <w:szCs w:val="24"/>
        </w:rPr>
        <w:t xml:space="preserve">ampaign </w:t>
      </w:r>
      <w:r w:rsidR="0036639F" w:rsidRPr="008D220A">
        <w:rPr>
          <w:rFonts w:ascii="Arial" w:hAnsi="Arial" w:cs="Arial"/>
          <w:sz w:val="24"/>
          <w:szCs w:val="24"/>
        </w:rPr>
        <w:t xml:space="preserve">to accelerate </w:t>
      </w:r>
      <w:r w:rsidR="00F81713" w:rsidRPr="008D220A">
        <w:rPr>
          <w:rFonts w:ascii="Arial" w:hAnsi="Arial" w:cs="Arial"/>
          <w:sz w:val="24"/>
          <w:szCs w:val="24"/>
        </w:rPr>
        <w:t>sustainable biomass utilization for heat and hot water services.</w:t>
      </w:r>
    </w:p>
    <w:p w14:paraId="2C43E80F" w14:textId="77777777" w:rsidR="00E852A5" w:rsidRPr="008D220A" w:rsidRDefault="00E852A5" w:rsidP="00E852A5">
      <w:pPr>
        <w:jc w:val="both"/>
        <w:rPr>
          <w:rFonts w:ascii="Arial" w:hAnsi="Arial" w:cs="Arial"/>
          <w:sz w:val="24"/>
          <w:szCs w:val="24"/>
          <w:shd w:val="clear" w:color="auto" w:fill="FFFFFF"/>
          <w:lang w:val="en-US"/>
        </w:rPr>
      </w:pPr>
      <w:r w:rsidRPr="008D220A">
        <w:rPr>
          <w:rFonts w:ascii="Arial" w:hAnsi="Arial" w:cs="Arial"/>
          <w:b/>
          <w:bCs/>
          <w:sz w:val="24"/>
          <w:szCs w:val="24"/>
          <w:lang w:val="en-US"/>
        </w:rPr>
        <w:t>COMPONENT (ACTIVITY) 4:</w:t>
      </w:r>
      <w:r w:rsidRPr="008D220A">
        <w:rPr>
          <w:rFonts w:ascii="Arial" w:hAnsi="Arial" w:cs="Arial"/>
          <w:bCs/>
          <w:sz w:val="24"/>
          <w:szCs w:val="24"/>
          <w:lang w:val="en-US"/>
        </w:rPr>
        <w:t xml:space="preserve"> Outreach programme and dissemination of project experience/best practices</w:t>
      </w:r>
      <w:r w:rsidRPr="008D220A">
        <w:rPr>
          <w:rFonts w:ascii="Arial" w:hAnsi="Arial" w:cs="Arial"/>
          <w:sz w:val="24"/>
          <w:szCs w:val="24"/>
          <w:shd w:val="clear" w:color="auto" w:fill="FFFFFF"/>
          <w:lang w:val="en-US"/>
        </w:rPr>
        <w:t>.</w:t>
      </w:r>
    </w:p>
    <w:p w14:paraId="442A585F" w14:textId="77777777" w:rsidR="00E852A5" w:rsidRPr="008D220A" w:rsidRDefault="00E852A5" w:rsidP="00E852A5">
      <w:pPr>
        <w:jc w:val="both"/>
        <w:rPr>
          <w:rFonts w:ascii="Arial" w:hAnsi="Arial" w:cs="Arial"/>
          <w:sz w:val="24"/>
          <w:szCs w:val="24"/>
          <w:lang w:val="en-US"/>
        </w:rPr>
      </w:pPr>
      <w:r w:rsidRPr="008D220A">
        <w:rPr>
          <w:rFonts w:ascii="Arial" w:hAnsi="Arial" w:cs="Arial"/>
          <w:sz w:val="24"/>
          <w:szCs w:val="24"/>
          <w:shd w:val="clear" w:color="auto" w:fill="FFFFFF"/>
          <w:lang w:val="en-US"/>
        </w:rPr>
        <w:t xml:space="preserve">This activity is to </w:t>
      </w:r>
      <w:r w:rsidRPr="008D220A">
        <w:rPr>
          <w:rFonts w:ascii="Arial" w:hAnsi="Arial" w:cs="Arial"/>
          <w:sz w:val="24"/>
          <w:szCs w:val="24"/>
          <w:lang w:val="en-US"/>
        </w:rPr>
        <w:t>formulate an outreach programme and document/disseminate project experience/best practices/lessons learned for replication within the country (and in the region).</w:t>
      </w:r>
    </w:p>
    <w:p w14:paraId="278D14F2" w14:textId="77777777" w:rsidR="00E852A5" w:rsidRPr="008D220A" w:rsidRDefault="00E852A5" w:rsidP="00E852A5">
      <w:pPr>
        <w:jc w:val="both"/>
        <w:rPr>
          <w:rFonts w:ascii="Arial" w:hAnsi="Arial" w:cs="Arial"/>
          <w:sz w:val="24"/>
          <w:szCs w:val="24"/>
          <w:lang w:val="en-US"/>
        </w:rPr>
      </w:pPr>
    </w:p>
    <w:p w14:paraId="6A6958FC" w14:textId="4ADA4A77" w:rsidR="00E852A5" w:rsidRPr="008D220A" w:rsidRDefault="00E852A5" w:rsidP="00E852A5">
      <w:pPr>
        <w:jc w:val="both"/>
        <w:rPr>
          <w:rFonts w:ascii="Arial" w:hAnsi="Arial" w:cs="Arial"/>
          <w:b/>
          <w:sz w:val="24"/>
          <w:szCs w:val="24"/>
          <w:lang w:val="en-US"/>
        </w:rPr>
      </w:pPr>
      <w:r w:rsidRPr="008D220A">
        <w:rPr>
          <w:rFonts w:ascii="Arial" w:hAnsi="Arial" w:cs="Arial"/>
          <w:b/>
          <w:sz w:val="24"/>
          <w:szCs w:val="24"/>
          <w:lang w:val="en-US"/>
        </w:rPr>
        <w:t>Situation analysis at the beginning of 201</w:t>
      </w:r>
      <w:r w:rsidR="00204355" w:rsidRPr="008D220A">
        <w:rPr>
          <w:rFonts w:ascii="Arial" w:hAnsi="Arial" w:cs="Arial"/>
          <w:b/>
          <w:sz w:val="24"/>
          <w:szCs w:val="24"/>
          <w:lang w:val="en-US"/>
        </w:rPr>
        <w:t>7</w:t>
      </w:r>
      <w:r w:rsidRPr="008D220A">
        <w:rPr>
          <w:rFonts w:ascii="Arial" w:hAnsi="Arial" w:cs="Arial"/>
          <w:b/>
          <w:sz w:val="24"/>
          <w:szCs w:val="24"/>
          <w:lang w:val="en-US"/>
        </w:rPr>
        <w:t>:</w:t>
      </w:r>
    </w:p>
    <w:p w14:paraId="1AC75333" w14:textId="27B308A9" w:rsidR="00204355" w:rsidRPr="008D220A" w:rsidRDefault="00E852A5" w:rsidP="00E852A5">
      <w:pPr>
        <w:jc w:val="both"/>
        <w:rPr>
          <w:rFonts w:ascii="Arial" w:hAnsi="Arial" w:cs="Arial"/>
          <w:sz w:val="24"/>
          <w:szCs w:val="24"/>
          <w:lang w:val="en-US"/>
        </w:rPr>
      </w:pPr>
      <w:r w:rsidRPr="008D220A">
        <w:rPr>
          <w:rFonts w:ascii="Arial" w:hAnsi="Arial" w:cs="Arial"/>
          <w:sz w:val="24"/>
          <w:szCs w:val="24"/>
          <w:lang w:val="en-US"/>
        </w:rPr>
        <w:t xml:space="preserve">In 2015 the </w:t>
      </w:r>
      <w:r w:rsidR="00204355" w:rsidRPr="008D220A">
        <w:rPr>
          <w:rFonts w:ascii="Arial" w:hAnsi="Arial" w:cs="Arial"/>
          <w:sz w:val="24"/>
          <w:szCs w:val="24"/>
          <w:lang w:val="en-US"/>
        </w:rPr>
        <w:t>P</w:t>
      </w:r>
      <w:r w:rsidRPr="008D220A">
        <w:rPr>
          <w:rFonts w:ascii="Arial" w:hAnsi="Arial" w:cs="Arial"/>
          <w:sz w:val="24"/>
          <w:szCs w:val="24"/>
          <w:lang w:val="en-US"/>
        </w:rPr>
        <w:t xml:space="preserve">roject </w:t>
      </w:r>
      <w:r w:rsidR="00204355" w:rsidRPr="008D220A">
        <w:rPr>
          <w:rFonts w:ascii="Arial" w:hAnsi="Arial" w:cs="Arial"/>
          <w:sz w:val="24"/>
          <w:szCs w:val="24"/>
          <w:lang w:val="en-US"/>
        </w:rPr>
        <w:t>formulated the</w:t>
      </w:r>
      <w:r w:rsidRPr="008D220A">
        <w:rPr>
          <w:rFonts w:ascii="Arial" w:hAnsi="Arial" w:cs="Arial"/>
          <w:sz w:val="24"/>
          <w:szCs w:val="24"/>
          <w:lang w:val="en-US"/>
        </w:rPr>
        <w:t xml:space="preserve"> National plan for implementing outreach/promotional activities to support biomass projects targeting domestic (and international) investors</w:t>
      </w:r>
      <w:r w:rsidR="009A14C8" w:rsidRPr="008D220A">
        <w:rPr>
          <w:rFonts w:ascii="Arial" w:hAnsi="Arial" w:cs="Arial"/>
          <w:sz w:val="24"/>
          <w:szCs w:val="24"/>
          <w:lang w:val="en-US"/>
        </w:rPr>
        <w:t>. The Plan detailed the necessary data compilation/analysis, research and awareness activities to be carried out by the Project</w:t>
      </w:r>
      <w:r w:rsidR="00204355" w:rsidRPr="008D220A">
        <w:rPr>
          <w:rFonts w:ascii="Arial" w:hAnsi="Arial" w:cs="Arial"/>
          <w:sz w:val="24"/>
          <w:szCs w:val="24"/>
          <w:lang w:val="en-US"/>
        </w:rPr>
        <w:t xml:space="preserve">. </w:t>
      </w:r>
    </w:p>
    <w:p w14:paraId="0D192EF5" w14:textId="77777777" w:rsidR="00204355" w:rsidRPr="008D220A" w:rsidRDefault="00204355" w:rsidP="00E852A5">
      <w:pPr>
        <w:jc w:val="both"/>
        <w:rPr>
          <w:rFonts w:ascii="Arial" w:hAnsi="Arial" w:cs="Arial"/>
          <w:sz w:val="24"/>
          <w:szCs w:val="24"/>
          <w:lang w:val="en-US"/>
        </w:rPr>
      </w:pPr>
    </w:p>
    <w:p w14:paraId="1217F030" w14:textId="5BBC1D88" w:rsidR="00445FFE" w:rsidRPr="008D220A" w:rsidRDefault="00204355" w:rsidP="00C46CD2">
      <w:pPr>
        <w:jc w:val="both"/>
      </w:pPr>
      <w:r w:rsidRPr="008D220A">
        <w:rPr>
          <w:rFonts w:ascii="Arial" w:hAnsi="Arial" w:cs="Arial"/>
          <w:sz w:val="24"/>
          <w:szCs w:val="24"/>
          <w:u w:val="single"/>
          <w:lang w:val="en-US"/>
        </w:rPr>
        <w:t>In 2016</w:t>
      </w:r>
      <w:r w:rsidR="009A14C8" w:rsidRPr="008D220A">
        <w:rPr>
          <w:rFonts w:ascii="Arial" w:hAnsi="Arial" w:cs="Arial"/>
          <w:sz w:val="24"/>
          <w:szCs w:val="24"/>
          <w:u w:val="single"/>
          <w:lang w:val="en-US"/>
        </w:rPr>
        <w:t xml:space="preserve"> one of the key outputs under the Component 4 has been produced – A </w:t>
      </w:r>
      <w:r w:rsidR="00445FFE" w:rsidRPr="008D220A">
        <w:rPr>
          <w:rFonts w:ascii="Arial" w:hAnsi="Arial" w:cs="Arial"/>
          <w:sz w:val="24"/>
          <w:szCs w:val="24"/>
          <w:u w:val="single"/>
        </w:rPr>
        <w:t>Municipal Biomass Guide detailing a step-by-step approach for implementing municipal biomass programmes.</w:t>
      </w:r>
      <w:r w:rsidR="00445FFE" w:rsidRPr="008D220A">
        <w:rPr>
          <w:rFonts w:ascii="Arial" w:hAnsi="Arial" w:cs="Arial"/>
          <w:sz w:val="24"/>
          <w:szCs w:val="24"/>
        </w:rPr>
        <w:t xml:space="preserve"> This practical manual (available in Ukrainian on the project web site </w:t>
      </w:r>
      <w:hyperlink r:id="rId19" w:history="1">
        <w:r w:rsidR="00B92AA0" w:rsidRPr="008D220A">
          <w:rPr>
            <w:rFonts w:ascii="Arial" w:hAnsi="Arial" w:cs="Arial"/>
            <w:sz w:val="24"/>
            <w:szCs w:val="24"/>
          </w:rPr>
          <w:t>http://bioenergy.in.ua/uk/library/korisni-materiali/praktichnii-posibnik-vikoristannia-biomasi-u-munitsipalnomu-sektori/</w:t>
        </w:r>
      </w:hyperlink>
      <w:r w:rsidR="00445FFE" w:rsidRPr="008D220A">
        <w:rPr>
          <w:rFonts w:ascii="Arial" w:hAnsi="Arial" w:cs="Arial"/>
          <w:sz w:val="24"/>
          <w:szCs w:val="24"/>
        </w:rPr>
        <w:t xml:space="preserve">) highlights the biomass utilization situation and legal/regulatory framework; </w:t>
      </w:r>
      <w:r w:rsidR="00C46CD2" w:rsidRPr="008D220A">
        <w:rPr>
          <w:rFonts w:ascii="Arial" w:hAnsi="Arial" w:cs="Arial"/>
          <w:sz w:val="24"/>
          <w:szCs w:val="24"/>
        </w:rPr>
        <w:t>describes</w:t>
      </w:r>
      <w:r w:rsidR="00445FFE" w:rsidRPr="008D220A">
        <w:rPr>
          <w:rFonts w:ascii="Arial" w:hAnsi="Arial" w:cs="Arial"/>
          <w:sz w:val="24"/>
          <w:szCs w:val="24"/>
        </w:rPr>
        <w:t xml:space="preserve"> opportunities for the biomass utilization in the municipal heat and hot water supply sector; </w:t>
      </w:r>
      <w:r w:rsidR="007929DF" w:rsidRPr="008D220A">
        <w:rPr>
          <w:rFonts w:ascii="Arial" w:hAnsi="Arial" w:cs="Arial"/>
          <w:sz w:val="24"/>
          <w:szCs w:val="24"/>
        </w:rPr>
        <w:t>analyses</w:t>
      </w:r>
      <w:r w:rsidR="00445FFE" w:rsidRPr="008D220A">
        <w:rPr>
          <w:rFonts w:ascii="Arial" w:hAnsi="Arial" w:cs="Arial"/>
          <w:sz w:val="24"/>
          <w:szCs w:val="24"/>
        </w:rPr>
        <w:t xml:space="preserve"> land-use issues</w:t>
      </w:r>
      <w:r w:rsidR="00C46CD2" w:rsidRPr="008D220A">
        <w:rPr>
          <w:rFonts w:ascii="Arial" w:hAnsi="Arial" w:cs="Arial"/>
          <w:sz w:val="24"/>
          <w:szCs w:val="24"/>
        </w:rPr>
        <w:t>;</w:t>
      </w:r>
      <w:r w:rsidR="00445FFE" w:rsidRPr="008D220A">
        <w:rPr>
          <w:rFonts w:ascii="Arial" w:hAnsi="Arial" w:cs="Arial"/>
          <w:sz w:val="24"/>
          <w:szCs w:val="24"/>
        </w:rPr>
        <w:t xml:space="preserve"> deals with feasibility analysis requirements, business plan methodology, design, construction and operation requir</w:t>
      </w:r>
      <w:r w:rsidR="00C46CD2" w:rsidRPr="008D220A">
        <w:rPr>
          <w:rFonts w:ascii="Arial" w:hAnsi="Arial" w:cs="Arial"/>
          <w:sz w:val="24"/>
          <w:szCs w:val="24"/>
        </w:rPr>
        <w:t xml:space="preserve">ements for bioenergy facilities; and also </w:t>
      </w:r>
      <w:r w:rsidR="00445FFE" w:rsidRPr="008D220A">
        <w:rPr>
          <w:rFonts w:ascii="Arial" w:hAnsi="Arial" w:cs="Arial"/>
          <w:sz w:val="24"/>
          <w:szCs w:val="24"/>
        </w:rPr>
        <w:t>gives insight into standardization of services provided by bioenergy facilities and principles for tariff regulation for energy generation and supply from bioenergy facilities; analyses monitoring and operational responsibility and liability issues</w:t>
      </w:r>
      <w:r w:rsidR="00445FFE" w:rsidRPr="008D220A">
        <w:t xml:space="preserve">. </w:t>
      </w:r>
    </w:p>
    <w:p w14:paraId="3B6616A3" w14:textId="77777777" w:rsidR="00445FFE" w:rsidRPr="008D220A" w:rsidRDefault="00445FFE" w:rsidP="00445FFE">
      <w:pPr>
        <w:pStyle w:val="af6"/>
        <w:autoSpaceDE w:val="0"/>
        <w:autoSpaceDN w:val="0"/>
        <w:adjustRightInd w:val="0"/>
        <w:spacing w:after="0" w:line="240" w:lineRule="auto"/>
        <w:ind w:left="0" w:right="4"/>
        <w:contextualSpacing w:val="0"/>
        <w:jc w:val="both"/>
        <w:rPr>
          <w:rFonts w:ascii="Arial" w:hAnsi="Arial" w:cs="Arial"/>
          <w:sz w:val="24"/>
          <w:szCs w:val="24"/>
        </w:rPr>
      </w:pPr>
    </w:p>
    <w:p w14:paraId="5F27137B" w14:textId="325CC847" w:rsidR="00396D6E" w:rsidRPr="008D220A" w:rsidRDefault="00396D6E" w:rsidP="00B92AA0">
      <w:pPr>
        <w:jc w:val="both"/>
        <w:rPr>
          <w:rFonts w:ascii="Arial" w:hAnsi="Arial" w:cs="Arial"/>
          <w:sz w:val="24"/>
          <w:szCs w:val="24"/>
          <w:lang w:val="en-US" w:eastAsia="ru-RU"/>
        </w:rPr>
      </w:pPr>
      <w:r w:rsidRPr="008D220A">
        <w:rPr>
          <w:rFonts w:ascii="Arial" w:hAnsi="Arial" w:cs="Arial"/>
          <w:sz w:val="24"/>
          <w:szCs w:val="24"/>
          <w:lang w:val="en-US" w:eastAsia="ru-RU"/>
        </w:rPr>
        <w:t xml:space="preserve">During 2016 the Project </w:t>
      </w:r>
      <w:r w:rsidR="00B92AA0" w:rsidRPr="008D220A">
        <w:rPr>
          <w:rFonts w:ascii="Arial" w:hAnsi="Arial" w:cs="Arial"/>
          <w:sz w:val="24"/>
          <w:szCs w:val="24"/>
          <w:lang w:val="en-US" w:eastAsia="ru-RU"/>
        </w:rPr>
        <w:t xml:space="preserve">also </w:t>
      </w:r>
      <w:r w:rsidRPr="008D220A">
        <w:rPr>
          <w:rFonts w:ascii="Arial" w:hAnsi="Arial" w:cs="Arial"/>
          <w:sz w:val="24"/>
          <w:szCs w:val="24"/>
          <w:lang w:val="en-US" w:eastAsia="ru-RU"/>
        </w:rPr>
        <w:t>compiled the following analytical reports:</w:t>
      </w:r>
    </w:p>
    <w:p w14:paraId="4967B2D5" w14:textId="1F264155" w:rsidR="00445FFE" w:rsidRPr="008D220A" w:rsidRDefault="00445FFE" w:rsidP="000A7B08">
      <w:pPr>
        <w:pStyle w:val="af6"/>
        <w:numPr>
          <w:ilvl w:val="0"/>
          <w:numId w:val="29"/>
        </w:numPr>
        <w:spacing w:line="240" w:lineRule="auto"/>
        <w:ind w:left="284" w:hanging="284"/>
        <w:jc w:val="both"/>
        <w:rPr>
          <w:rFonts w:ascii="Arial" w:hAnsi="Arial" w:cs="Arial"/>
          <w:sz w:val="24"/>
          <w:szCs w:val="24"/>
          <w:lang w:eastAsia="ru-RU"/>
        </w:rPr>
      </w:pPr>
      <w:r w:rsidRPr="008D220A">
        <w:rPr>
          <w:rFonts w:ascii="Arial" w:hAnsi="Arial" w:cs="Arial"/>
          <w:sz w:val="24"/>
          <w:szCs w:val="24"/>
          <w:lang w:eastAsia="ru-RU"/>
        </w:rPr>
        <w:t xml:space="preserve">Analytical Report and Recommendations on energy crops cultivation in Ukraine </w:t>
      </w:r>
    </w:p>
    <w:p w14:paraId="2A4468B3" w14:textId="77777777" w:rsidR="00445FFE" w:rsidRPr="008D220A" w:rsidRDefault="00445FFE" w:rsidP="00B92AA0">
      <w:pPr>
        <w:pStyle w:val="af6"/>
        <w:numPr>
          <w:ilvl w:val="0"/>
          <w:numId w:val="29"/>
        </w:numPr>
        <w:spacing w:line="240" w:lineRule="auto"/>
        <w:ind w:left="284" w:hanging="284"/>
        <w:jc w:val="both"/>
        <w:rPr>
          <w:rFonts w:ascii="Arial" w:hAnsi="Arial" w:cs="Arial"/>
          <w:sz w:val="24"/>
          <w:szCs w:val="24"/>
          <w:lang w:eastAsia="ru-RU"/>
        </w:rPr>
      </w:pPr>
      <w:r w:rsidRPr="008D220A">
        <w:rPr>
          <w:rFonts w:ascii="Arial" w:hAnsi="Arial" w:cs="Arial"/>
          <w:sz w:val="24"/>
          <w:szCs w:val="24"/>
          <w:lang w:eastAsia="ru-RU"/>
        </w:rPr>
        <w:lastRenderedPageBreak/>
        <w:t>Brochure on bioenergy technologies utilization in the municipal sector in Ukraine</w:t>
      </w:r>
    </w:p>
    <w:p w14:paraId="0FE296A9" w14:textId="77777777" w:rsidR="00B92AA0" w:rsidRPr="008D220A" w:rsidRDefault="00B92AA0" w:rsidP="00B92AA0">
      <w:pPr>
        <w:pStyle w:val="af6"/>
        <w:numPr>
          <w:ilvl w:val="0"/>
          <w:numId w:val="29"/>
        </w:numPr>
        <w:spacing w:line="240" w:lineRule="auto"/>
        <w:ind w:left="284" w:hanging="284"/>
        <w:jc w:val="both"/>
        <w:rPr>
          <w:rFonts w:ascii="Arial" w:hAnsi="Arial" w:cs="Arial"/>
          <w:sz w:val="24"/>
          <w:szCs w:val="24"/>
        </w:rPr>
      </w:pPr>
      <w:r w:rsidRPr="008D220A">
        <w:rPr>
          <w:rFonts w:ascii="Arial" w:hAnsi="Arial" w:cs="Arial"/>
          <w:sz w:val="24"/>
          <w:szCs w:val="24"/>
        </w:rPr>
        <w:t>Analytical Report on tariff and price regulation for heat and hot water supply in the municipal sector in Ukraine</w:t>
      </w:r>
    </w:p>
    <w:p w14:paraId="4B70AF30" w14:textId="77777777" w:rsidR="00B92AA0" w:rsidRPr="008D220A" w:rsidRDefault="00B92AA0" w:rsidP="00B92AA0">
      <w:pPr>
        <w:pStyle w:val="af6"/>
        <w:numPr>
          <w:ilvl w:val="0"/>
          <w:numId w:val="29"/>
        </w:numPr>
        <w:autoSpaceDE w:val="0"/>
        <w:autoSpaceDN w:val="0"/>
        <w:adjustRightInd w:val="0"/>
        <w:spacing w:after="0" w:line="240" w:lineRule="auto"/>
        <w:ind w:left="284" w:hanging="284"/>
        <w:jc w:val="both"/>
        <w:rPr>
          <w:rFonts w:ascii="Arial" w:hAnsi="Arial" w:cs="Arial"/>
          <w:sz w:val="24"/>
          <w:szCs w:val="24"/>
        </w:rPr>
      </w:pPr>
      <w:r w:rsidRPr="008D220A">
        <w:rPr>
          <w:rFonts w:ascii="Arial" w:hAnsi="Arial" w:cs="Arial"/>
          <w:sz w:val="24"/>
          <w:szCs w:val="24"/>
        </w:rPr>
        <w:t xml:space="preserve">Comprehensive Study of Ukrainian biomass boilers market </w:t>
      </w:r>
    </w:p>
    <w:p w14:paraId="119CDEA0" w14:textId="77777777" w:rsidR="00B92AA0" w:rsidRPr="008D220A" w:rsidRDefault="00B92AA0" w:rsidP="00B92AA0">
      <w:pPr>
        <w:pStyle w:val="af6"/>
        <w:numPr>
          <w:ilvl w:val="0"/>
          <w:numId w:val="29"/>
        </w:numPr>
        <w:spacing w:line="240" w:lineRule="auto"/>
        <w:ind w:left="284" w:hanging="284"/>
        <w:jc w:val="both"/>
        <w:rPr>
          <w:rFonts w:ascii="Arial" w:hAnsi="Arial" w:cs="Arial"/>
          <w:sz w:val="24"/>
          <w:szCs w:val="24"/>
          <w:lang w:eastAsia="ru-RU"/>
        </w:rPr>
      </w:pPr>
      <w:r w:rsidRPr="008D220A">
        <w:rPr>
          <w:rFonts w:ascii="Arial" w:hAnsi="Arial" w:cs="Arial"/>
          <w:sz w:val="24"/>
          <w:szCs w:val="24"/>
          <w:lang w:eastAsia="ru-RU"/>
        </w:rPr>
        <w:t>Comprehensive analysis of the Ukrainian biomass pellets market</w:t>
      </w:r>
    </w:p>
    <w:p w14:paraId="69A24779" w14:textId="77777777" w:rsidR="00B92AA0" w:rsidRPr="008D220A" w:rsidRDefault="00B92AA0" w:rsidP="00B92AA0">
      <w:pPr>
        <w:pStyle w:val="af6"/>
        <w:autoSpaceDE w:val="0"/>
        <w:autoSpaceDN w:val="0"/>
        <w:adjustRightInd w:val="0"/>
        <w:spacing w:after="0" w:line="240" w:lineRule="auto"/>
        <w:ind w:left="0"/>
        <w:jc w:val="both"/>
        <w:rPr>
          <w:rFonts w:ascii="Arial" w:hAnsi="Arial" w:cs="Arial"/>
          <w:sz w:val="24"/>
          <w:szCs w:val="24"/>
        </w:rPr>
      </w:pPr>
    </w:p>
    <w:p w14:paraId="1D717445" w14:textId="4FB0EBE7" w:rsidR="00445FFE" w:rsidRPr="008D220A" w:rsidRDefault="008514D7" w:rsidP="00A44ABC">
      <w:pPr>
        <w:jc w:val="both"/>
        <w:rPr>
          <w:rFonts w:asciiTheme="minorHAnsi" w:hAnsiTheme="minorHAnsi" w:cstheme="minorHAnsi"/>
          <w:sz w:val="22"/>
          <w:szCs w:val="22"/>
          <w:lang w:val="en-US"/>
        </w:rPr>
      </w:pPr>
      <w:r w:rsidRPr="008D220A">
        <w:rPr>
          <w:rFonts w:ascii="Arial" w:hAnsi="Arial" w:cs="Arial"/>
          <w:sz w:val="24"/>
          <w:szCs w:val="24"/>
          <w:lang w:val="en-US"/>
        </w:rPr>
        <w:t>In line with the National plan for implementing outreach/promotional activities, in 2016 the Project has developed a concept and launched a tender for organizing and implementing Awareness and Capacity Building Campaign primarily focused on trainings and informational campaign among municipal authorities and specialists to promote use of agricultural biomass for heating and hot water services.</w:t>
      </w:r>
    </w:p>
    <w:p w14:paraId="4CDE9571" w14:textId="77777777" w:rsidR="00445FFE" w:rsidRPr="008D220A" w:rsidRDefault="00445FFE" w:rsidP="00E852A5">
      <w:pPr>
        <w:jc w:val="both"/>
        <w:rPr>
          <w:rFonts w:ascii="Arial" w:hAnsi="Arial" w:cs="Arial"/>
          <w:sz w:val="24"/>
          <w:szCs w:val="24"/>
          <w:lang w:val="en-US"/>
        </w:rPr>
      </w:pPr>
    </w:p>
    <w:p w14:paraId="5ACD44A5" w14:textId="7F78EA71" w:rsidR="00E852A5" w:rsidRPr="008D220A" w:rsidRDefault="00E852A5" w:rsidP="00E852A5">
      <w:pPr>
        <w:jc w:val="both"/>
        <w:rPr>
          <w:rFonts w:ascii="Arial" w:hAnsi="Arial" w:cs="Arial"/>
          <w:sz w:val="24"/>
          <w:szCs w:val="24"/>
          <w:lang w:val="en-US"/>
        </w:rPr>
      </w:pPr>
      <w:r w:rsidRPr="008D220A">
        <w:rPr>
          <w:rFonts w:ascii="Arial" w:hAnsi="Arial" w:cs="Arial"/>
          <w:b/>
          <w:sz w:val="24"/>
          <w:szCs w:val="24"/>
          <w:lang w:val="en-US"/>
        </w:rPr>
        <w:t>Planned actions/activities for 201</w:t>
      </w:r>
      <w:r w:rsidR="000A7B08" w:rsidRPr="008D220A">
        <w:rPr>
          <w:rFonts w:ascii="Arial" w:hAnsi="Arial" w:cs="Arial"/>
          <w:b/>
          <w:sz w:val="24"/>
          <w:szCs w:val="24"/>
          <w:lang w:val="en-US"/>
        </w:rPr>
        <w:t>7</w:t>
      </w:r>
      <w:r w:rsidRPr="008D220A">
        <w:rPr>
          <w:rFonts w:ascii="Arial" w:hAnsi="Arial" w:cs="Arial"/>
          <w:b/>
          <w:sz w:val="24"/>
          <w:szCs w:val="24"/>
          <w:lang w:val="en-US"/>
        </w:rPr>
        <w:t>:</w:t>
      </w:r>
      <w:r w:rsidRPr="008D220A">
        <w:rPr>
          <w:rFonts w:ascii="Arial" w:hAnsi="Arial" w:cs="Arial"/>
          <w:sz w:val="24"/>
          <w:szCs w:val="24"/>
          <w:lang w:val="en-US"/>
        </w:rPr>
        <w:t xml:space="preserve"> </w:t>
      </w:r>
    </w:p>
    <w:p w14:paraId="1CA9F52B" w14:textId="6DD85776" w:rsidR="00A44ABC" w:rsidRPr="008D220A" w:rsidRDefault="00A44ABC" w:rsidP="006D215B">
      <w:pPr>
        <w:pStyle w:val="af6"/>
        <w:numPr>
          <w:ilvl w:val="0"/>
          <w:numId w:val="6"/>
        </w:numPr>
        <w:spacing w:line="240" w:lineRule="auto"/>
        <w:ind w:left="284" w:hanging="284"/>
        <w:jc w:val="both"/>
        <w:rPr>
          <w:rFonts w:ascii="Arial" w:hAnsi="Arial" w:cs="Arial"/>
          <w:sz w:val="24"/>
          <w:szCs w:val="24"/>
        </w:rPr>
      </w:pPr>
      <w:r w:rsidRPr="008D220A">
        <w:rPr>
          <w:rFonts w:ascii="Arial" w:hAnsi="Arial" w:cs="Arial"/>
          <w:sz w:val="24"/>
          <w:szCs w:val="24"/>
        </w:rPr>
        <w:t>Start implementation of all-Ukrainian Awareness and Capacity Building Campaign.</w:t>
      </w:r>
    </w:p>
    <w:p w14:paraId="0FCF562C" w14:textId="35A30465" w:rsidR="00E852A5" w:rsidRPr="008D220A" w:rsidRDefault="00E852A5" w:rsidP="006D215B">
      <w:pPr>
        <w:pStyle w:val="af6"/>
        <w:numPr>
          <w:ilvl w:val="0"/>
          <w:numId w:val="6"/>
        </w:numPr>
        <w:spacing w:line="240" w:lineRule="auto"/>
        <w:ind w:left="284" w:hanging="284"/>
        <w:jc w:val="both"/>
        <w:rPr>
          <w:rFonts w:ascii="Arial" w:hAnsi="Arial" w:cs="Arial"/>
          <w:sz w:val="24"/>
          <w:szCs w:val="24"/>
        </w:rPr>
      </w:pPr>
      <w:r w:rsidRPr="008D220A">
        <w:rPr>
          <w:rFonts w:ascii="Arial" w:hAnsi="Arial" w:cs="Arial"/>
          <w:sz w:val="24"/>
          <w:szCs w:val="24"/>
        </w:rPr>
        <w:t>D</w:t>
      </w:r>
      <w:r w:rsidR="000D19FF" w:rsidRPr="008D220A">
        <w:rPr>
          <w:rFonts w:ascii="Arial" w:hAnsi="Arial" w:cs="Arial"/>
          <w:sz w:val="24"/>
          <w:szCs w:val="24"/>
        </w:rPr>
        <w:t xml:space="preserve">istribution of the </w:t>
      </w:r>
      <w:r w:rsidRPr="008D220A">
        <w:rPr>
          <w:rFonts w:ascii="Arial" w:hAnsi="Arial" w:cs="Arial"/>
          <w:sz w:val="24"/>
          <w:szCs w:val="24"/>
        </w:rPr>
        <w:t xml:space="preserve">Municipal Biomass Guide </w:t>
      </w:r>
      <w:r w:rsidR="000D19FF" w:rsidRPr="008D220A">
        <w:rPr>
          <w:rFonts w:ascii="Arial" w:hAnsi="Arial" w:cs="Arial"/>
          <w:sz w:val="24"/>
          <w:szCs w:val="24"/>
        </w:rPr>
        <w:t xml:space="preserve">and Best Practices of bioenergy technologies utilization in the municipal sector of Ukraine. </w:t>
      </w:r>
    </w:p>
    <w:p w14:paraId="20297C80" w14:textId="0DD12CA7" w:rsidR="00E852A5" w:rsidRPr="008D220A" w:rsidRDefault="00E852A5" w:rsidP="006D215B">
      <w:pPr>
        <w:pStyle w:val="af6"/>
        <w:numPr>
          <w:ilvl w:val="0"/>
          <w:numId w:val="6"/>
        </w:numPr>
        <w:spacing w:line="240" w:lineRule="auto"/>
        <w:ind w:left="284" w:hanging="284"/>
        <w:jc w:val="both"/>
        <w:rPr>
          <w:rFonts w:ascii="Arial" w:hAnsi="Arial" w:cs="Arial"/>
          <w:sz w:val="24"/>
          <w:szCs w:val="24"/>
        </w:rPr>
      </w:pPr>
      <w:r w:rsidRPr="008D220A">
        <w:rPr>
          <w:rFonts w:ascii="Arial" w:hAnsi="Arial" w:cs="Arial"/>
          <w:sz w:val="24"/>
          <w:szCs w:val="24"/>
          <w:lang w:eastAsia="ru-RU"/>
        </w:rPr>
        <w:t>D</w:t>
      </w:r>
      <w:r w:rsidR="00A44ABC" w:rsidRPr="008D220A">
        <w:rPr>
          <w:rFonts w:ascii="Arial" w:hAnsi="Arial" w:cs="Arial"/>
          <w:sz w:val="24"/>
          <w:szCs w:val="24"/>
          <w:lang w:eastAsia="ru-RU"/>
        </w:rPr>
        <w:t xml:space="preserve">ocument best practices and lessons learned of bioenergy technologies available in Ukraine. </w:t>
      </w:r>
    </w:p>
    <w:p w14:paraId="2FEDD3C0" w14:textId="771DDCEA" w:rsidR="00D16E04" w:rsidRPr="008D220A" w:rsidRDefault="00A44ABC" w:rsidP="00A44ABC">
      <w:pPr>
        <w:pStyle w:val="af6"/>
        <w:numPr>
          <w:ilvl w:val="0"/>
          <w:numId w:val="6"/>
        </w:numPr>
        <w:spacing w:line="240" w:lineRule="auto"/>
        <w:ind w:left="284" w:hanging="284"/>
        <w:jc w:val="both"/>
        <w:rPr>
          <w:shd w:val="clear" w:color="auto" w:fill="FFFFFF"/>
        </w:rPr>
      </w:pPr>
      <w:r w:rsidRPr="008D220A">
        <w:rPr>
          <w:rFonts w:ascii="Arial" w:hAnsi="Arial" w:cs="Arial"/>
          <w:sz w:val="24"/>
          <w:szCs w:val="24"/>
          <w:lang w:eastAsia="ru-RU"/>
        </w:rPr>
        <w:t>Organize annual biomass conference in cooperation with the project beneficiary</w:t>
      </w:r>
      <w:r w:rsidR="00E852A5" w:rsidRPr="008D220A">
        <w:rPr>
          <w:rFonts w:ascii="Arial" w:hAnsi="Arial" w:cs="Arial"/>
          <w:sz w:val="24"/>
          <w:szCs w:val="24"/>
          <w:lang w:eastAsia="ru-RU"/>
        </w:rPr>
        <w:t xml:space="preserve">. </w:t>
      </w:r>
    </w:p>
    <w:p w14:paraId="4769E28A" w14:textId="77777777" w:rsidR="00D16E04" w:rsidRPr="008D220A" w:rsidRDefault="00D16E04" w:rsidP="00D16E04">
      <w:pPr>
        <w:pStyle w:val="rvps2"/>
        <w:spacing w:before="0" w:beforeAutospacing="0" w:after="0" w:afterAutospacing="0"/>
        <w:jc w:val="both"/>
        <w:rPr>
          <w:rFonts w:ascii="Arial" w:hAnsi="Arial" w:cs="Arial"/>
          <w:shd w:val="clear" w:color="auto" w:fill="FFFFFF"/>
        </w:rPr>
      </w:pPr>
    </w:p>
    <w:p w14:paraId="3DC15B02" w14:textId="0028678F" w:rsidR="00563D03" w:rsidRPr="008D220A" w:rsidRDefault="00B63100" w:rsidP="00F130F2">
      <w:pPr>
        <w:pStyle w:val="2"/>
        <w:numPr>
          <w:ilvl w:val="1"/>
          <w:numId w:val="2"/>
        </w:numPr>
        <w:spacing w:before="0" w:after="0"/>
        <w:ind w:left="0" w:firstLine="0"/>
        <w:rPr>
          <w:lang w:val="en-US"/>
        </w:rPr>
      </w:pPr>
      <w:bookmarkStart w:id="17" w:name="_Toc376123024"/>
      <w:r w:rsidRPr="008D220A">
        <w:rPr>
          <w:lang w:val="en-US"/>
        </w:rPr>
        <w:t xml:space="preserve">Midterm Project </w:t>
      </w:r>
      <w:r w:rsidR="00284EDE" w:rsidRPr="008D220A">
        <w:rPr>
          <w:lang w:val="en-US"/>
        </w:rPr>
        <w:t xml:space="preserve">Review </w:t>
      </w:r>
      <w:r w:rsidRPr="008D220A">
        <w:rPr>
          <w:lang w:val="en-US"/>
        </w:rPr>
        <w:t xml:space="preserve">results and revised </w:t>
      </w:r>
      <w:r w:rsidR="00F62D18" w:rsidRPr="008D220A">
        <w:rPr>
          <w:lang w:val="en-US"/>
        </w:rPr>
        <w:t xml:space="preserve">Project </w:t>
      </w:r>
      <w:r w:rsidR="00677CA5" w:rsidRPr="008D220A">
        <w:rPr>
          <w:lang w:val="en-US"/>
        </w:rPr>
        <w:t>strategy</w:t>
      </w:r>
      <w:r w:rsidR="000B019F" w:rsidRPr="008D220A">
        <w:rPr>
          <w:lang w:val="en-US"/>
        </w:rPr>
        <w:t xml:space="preserve"> </w:t>
      </w:r>
      <w:r w:rsidR="00563D03" w:rsidRPr="008D220A">
        <w:rPr>
          <w:lang w:val="en-US"/>
        </w:rPr>
        <w:t>for 2017-2018 and beyond</w:t>
      </w:r>
      <w:bookmarkEnd w:id="17"/>
    </w:p>
    <w:p w14:paraId="5965FB48" w14:textId="77777777" w:rsidR="00563D03" w:rsidRPr="008D220A" w:rsidRDefault="00563D03" w:rsidP="00563D03">
      <w:pPr>
        <w:contextualSpacing/>
        <w:jc w:val="both"/>
        <w:rPr>
          <w:rFonts w:ascii="Arial" w:hAnsi="Arial" w:cs="Arial"/>
          <w:sz w:val="24"/>
          <w:szCs w:val="24"/>
          <w:lang w:val="en-US"/>
        </w:rPr>
      </w:pPr>
    </w:p>
    <w:p w14:paraId="3865F217" w14:textId="6DA8858A" w:rsidR="00563D03" w:rsidRPr="008D220A" w:rsidRDefault="00284EDE" w:rsidP="00563D03">
      <w:pPr>
        <w:contextualSpacing/>
        <w:jc w:val="both"/>
        <w:rPr>
          <w:rFonts w:ascii="Arial" w:hAnsi="Arial" w:cs="Arial"/>
          <w:b/>
          <w:sz w:val="24"/>
          <w:szCs w:val="24"/>
          <w:lang w:val="en-US"/>
        </w:rPr>
      </w:pPr>
      <w:r w:rsidRPr="008D220A">
        <w:rPr>
          <w:rFonts w:ascii="Arial" w:hAnsi="Arial" w:cs="Arial"/>
          <w:b/>
          <w:sz w:val="24"/>
          <w:szCs w:val="24"/>
          <w:lang w:val="en-US"/>
        </w:rPr>
        <w:t>Mid</w:t>
      </w:r>
      <w:r w:rsidR="00563D03" w:rsidRPr="008D220A">
        <w:rPr>
          <w:rFonts w:ascii="Arial" w:hAnsi="Arial" w:cs="Arial"/>
          <w:b/>
          <w:sz w:val="24"/>
          <w:szCs w:val="24"/>
          <w:lang w:val="en-US"/>
        </w:rPr>
        <w:t xml:space="preserve">term </w:t>
      </w:r>
      <w:r w:rsidRPr="008D220A">
        <w:rPr>
          <w:rFonts w:ascii="Arial" w:hAnsi="Arial" w:cs="Arial"/>
          <w:b/>
          <w:sz w:val="24"/>
          <w:szCs w:val="24"/>
          <w:lang w:val="en-US"/>
        </w:rPr>
        <w:t>Project Review (</w:t>
      </w:r>
      <w:r w:rsidR="00563D03" w:rsidRPr="008D220A">
        <w:rPr>
          <w:rFonts w:ascii="Arial" w:hAnsi="Arial" w:cs="Arial"/>
          <w:b/>
          <w:sz w:val="24"/>
          <w:szCs w:val="24"/>
          <w:lang w:val="en-US"/>
        </w:rPr>
        <w:t>evaluation</w:t>
      </w:r>
      <w:r w:rsidRPr="008D220A">
        <w:rPr>
          <w:rFonts w:ascii="Arial" w:hAnsi="Arial" w:cs="Arial"/>
          <w:b/>
          <w:sz w:val="24"/>
          <w:szCs w:val="24"/>
          <w:lang w:val="en-US"/>
        </w:rPr>
        <w:t>)</w:t>
      </w:r>
    </w:p>
    <w:p w14:paraId="297E4EFA" w14:textId="77777777" w:rsidR="00284EDE" w:rsidRPr="008D220A" w:rsidRDefault="00284EDE" w:rsidP="00563D03">
      <w:pPr>
        <w:contextualSpacing/>
        <w:jc w:val="both"/>
        <w:rPr>
          <w:rFonts w:ascii="Arial" w:hAnsi="Arial" w:cs="Arial"/>
          <w:b/>
          <w:sz w:val="24"/>
          <w:szCs w:val="24"/>
          <w:lang w:val="en-US"/>
        </w:rPr>
      </w:pPr>
    </w:p>
    <w:p w14:paraId="2878FD26" w14:textId="289DD135" w:rsidR="00C86FB7" w:rsidRPr="008D220A" w:rsidRDefault="00563D03" w:rsidP="00715BB2">
      <w:pPr>
        <w:contextualSpacing/>
        <w:jc w:val="both"/>
        <w:rPr>
          <w:rFonts w:ascii="Arial" w:hAnsi="Arial" w:cs="Arial"/>
          <w:sz w:val="24"/>
          <w:szCs w:val="24"/>
          <w:lang w:val="en-US"/>
        </w:rPr>
      </w:pPr>
      <w:r w:rsidRPr="008D220A">
        <w:rPr>
          <w:rFonts w:ascii="Arial" w:hAnsi="Arial" w:cs="Arial"/>
          <w:sz w:val="24"/>
          <w:szCs w:val="24"/>
          <w:lang w:val="en-US"/>
        </w:rPr>
        <w:t xml:space="preserve">In line with the GEF Monitoring and Evaluation Policy, </w:t>
      </w:r>
      <w:r w:rsidR="005F260A" w:rsidRPr="008D220A">
        <w:rPr>
          <w:rFonts w:ascii="Arial" w:hAnsi="Arial" w:cs="Arial"/>
          <w:sz w:val="24"/>
          <w:szCs w:val="24"/>
          <w:lang w:val="en-US"/>
        </w:rPr>
        <w:t xml:space="preserve">the </w:t>
      </w:r>
      <w:r w:rsidR="00715BB2" w:rsidRPr="008D220A">
        <w:rPr>
          <w:rFonts w:ascii="Arial" w:hAnsi="Arial" w:cs="Arial"/>
          <w:sz w:val="24"/>
          <w:szCs w:val="24"/>
          <w:lang w:val="en-US"/>
        </w:rPr>
        <w:t xml:space="preserve">Project underwent </w:t>
      </w:r>
      <w:r w:rsidRPr="008D220A">
        <w:rPr>
          <w:rFonts w:ascii="Arial" w:hAnsi="Arial" w:cs="Arial"/>
          <w:sz w:val="24"/>
          <w:szCs w:val="24"/>
          <w:lang w:val="en-US"/>
        </w:rPr>
        <w:t>a Mid</w:t>
      </w:r>
      <w:r w:rsidR="00715BB2" w:rsidRPr="008D220A">
        <w:rPr>
          <w:rFonts w:ascii="Arial" w:hAnsi="Arial" w:cs="Arial"/>
          <w:sz w:val="24"/>
          <w:szCs w:val="24"/>
          <w:lang w:val="en-US"/>
        </w:rPr>
        <w:t xml:space="preserve">term Review (MTR) started in </w:t>
      </w:r>
      <w:r w:rsidRPr="008D220A">
        <w:rPr>
          <w:rFonts w:ascii="Arial" w:hAnsi="Arial" w:cs="Arial"/>
          <w:sz w:val="24"/>
          <w:szCs w:val="24"/>
          <w:lang w:val="en-US"/>
        </w:rPr>
        <w:t xml:space="preserve">December 2016 and </w:t>
      </w:r>
      <w:r w:rsidR="00715BB2" w:rsidRPr="008D220A">
        <w:rPr>
          <w:rFonts w:ascii="Arial" w:hAnsi="Arial" w:cs="Arial"/>
          <w:sz w:val="24"/>
          <w:szCs w:val="24"/>
          <w:lang w:val="en-US"/>
        </w:rPr>
        <w:t>completed on 2</w:t>
      </w:r>
      <w:r w:rsidR="00A84914" w:rsidRPr="008D220A">
        <w:rPr>
          <w:rFonts w:ascii="Arial" w:hAnsi="Arial" w:cs="Arial"/>
          <w:sz w:val="24"/>
          <w:szCs w:val="24"/>
          <w:lang w:val="en-US"/>
        </w:rPr>
        <w:t>9 M</w:t>
      </w:r>
      <w:r w:rsidR="00284EDE" w:rsidRPr="008D220A">
        <w:rPr>
          <w:rFonts w:ascii="Arial" w:hAnsi="Arial" w:cs="Arial"/>
          <w:sz w:val="24"/>
          <w:szCs w:val="24"/>
          <w:lang w:val="en-US"/>
        </w:rPr>
        <w:t xml:space="preserve">arch 2017 after acceptance of the MTR report. </w:t>
      </w:r>
    </w:p>
    <w:p w14:paraId="489C20A9" w14:textId="77777777" w:rsidR="00284EDE" w:rsidRPr="008D220A" w:rsidRDefault="00284EDE" w:rsidP="00715BB2">
      <w:pPr>
        <w:contextualSpacing/>
        <w:jc w:val="both"/>
        <w:rPr>
          <w:rFonts w:ascii="Arial" w:hAnsi="Arial" w:cs="Arial"/>
          <w:sz w:val="24"/>
          <w:szCs w:val="24"/>
          <w:lang w:val="en-US"/>
        </w:rPr>
      </w:pPr>
    </w:p>
    <w:p w14:paraId="496FA19D" w14:textId="45749B4B" w:rsidR="00284EDE" w:rsidRPr="008D220A" w:rsidRDefault="00284EDE" w:rsidP="00715BB2">
      <w:pPr>
        <w:contextualSpacing/>
        <w:jc w:val="both"/>
        <w:rPr>
          <w:rFonts w:ascii="Arial" w:hAnsi="Arial" w:cs="Arial"/>
          <w:sz w:val="24"/>
          <w:szCs w:val="24"/>
          <w:lang w:val="en-US"/>
        </w:rPr>
      </w:pPr>
      <w:r w:rsidRPr="008D220A">
        <w:rPr>
          <w:rFonts w:ascii="Arial" w:hAnsi="Arial" w:cs="Arial"/>
          <w:sz w:val="24"/>
          <w:szCs w:val="24"/>
          <w:lang w:val="en-US"/>
        </w:rPr>
        <w:t>Concise summary of the MTR report states the following findings and conclusions:</w:t>
      </w:r>
    </w:p>
    <w:p w14:paraId="09CDE359" w14:textId="77777777" w:rsidR="00C86FB7" w:rsidRPr="008D220A" w:rsidRDefault="00C86FB7" w:rsidP="00715BB2">
      <w:pPr>
        <w:contextualSpacing/>
        <w:jc w:val="both"/>
        <w:rPr>
          <w:rFonts w:ascii="Arial" w:hAnsi="Arial" w:cs="Arial"/>
          <w:sz w:val="24"/>
          <w:szCs w:val="24"/>
          <w:lang w:val="en-US"/>
        </w:rPr>
      </w:pPr>
    </w:p>
    <w:p w14:paraId="3A977F29" w14:textId="4CC2115C" w:rsidR="00C86FB7" w:rsidRPr="008D220A" w:rsidRDefault="00C86FB7" w:rsidP="0045115E">
      <w:pPr>
        <w:pStyle w:val="af6"/>
        <w:numPr>
          <w:ilvl w:val="0"/>
          <w:numId w:val="30"/>
        </w:numPr>
        <w:spacing w:after="0" w:line="240" w:lineRule="auto"/>
        <w:ind w:left="284" w:hanging="284"/>
        <w:contextualSpacing w:val="0"/>
        <w:jc w:val="both"/>
        <w:rPr>
          <w:rFonts w:ascii="Arial" w:eastAsiaTheme="minorHAnsi" w:hAnsi="Arial" w:cs="Arial"/>
          <w:i/>
          <w:sz w:val="24"/>
          <w:szCs w:val="24"/>
        </w:rPr>
      </w:pPr>
      <w:r w:rsidRPr="008D220A">
        <w:rPr>
          <w:rFonts w:ascii="Arial" w:eastAsiaTheme="minorHAnsi" w:hAnsi="Arial" w:cs="Arial"/>
          <w:i/>
          <w:sz w:val="24"/>
          <w:szCs w:val="24"/>
        </w:rPr>
        <w:t>The Project has made all stakeholders engaged in the process aimed at the achievement of the planned outcomes and outputs</w:t>
      </w:r>
      <w:r w:rsidR="00284EDE" w:rsidRPr="008D220A">
        <w:rPr>
          <w:rFonts w:ascii="Arial" w:eastAsiaTheme="minorHAnsi" w:hAnsi="Arial" w:cs="Arial"/>
          <w:i/>
          <w:sz w:val="24"/>
          <w:szCs w:val="24"/>
        </w:rPr>
        <w:t>.</w:t>
      </w:r>
      <w:r w:rsidRPr="008D220A">
        <w:rPr>
          <w:rFonts w:ascii="Arial" w:eastAsiaTheme="minorHAnsi" w:hAnsi="Arial" w:cs="Arial"/>
          <w:i/>
          <w:sz w:val="24"/>
          <w:szCs w:val="24"/>
        </w:rPr>
        <w:t xml:space="preserve">   </w:t>
      </w:r>
    </w:p>
    <w:p w14:paraId="60F619B7" w14:textId="4C20E457" w:rsidR="00C86FB7" w:rsidRPr="008D220A" w:rsidRDefault="00C86FB7" w:rsidP="0045115E">
      <w:pPr>
        <w:pStyle w:val="af6"/>
        <w:numPr>
          <w:ilvl w:val="0"/>
          <w:numId w:val="30"/>
        </w:numPr>
        <w:spacing w:after="0" w:line="240" w:lineRule="auto"/>
        <w:ind w:left="284" w:hanging="284"/>
        <w:contextualSpacing w:val="0"/>
        <w:jc w:val="both"/>
        <w:rPr>
          <w:rFonts w:ascii="Arial" w:eastAsiaTheme="minorHAnsi" w:hAnsi="Arial" w:cs="Arial"/>
          <w:i/>
          <w:sz w:val="24"/>
          <w:szCs w:val="24"/>
        </w:rPr>
      </w:pPr>
      <w:r w:rsidRPr="008D220A">
        <w:rPr>
          <w:rFonts w:ascii="Arial" w:eastAsiaTheme="minorHAnsi" w:hAnsi="Arial" w:cs="Arial"/>
          <w:i/>
          <w:sz w:val="24"/>
          <w:szCs w:val="24"/>
        </w:rPr>
        <w:t>The Project has widely applied programmatic approach and widened the area of Project influence from municipal to the Regional levels</w:t>
      </w:r>
      <w:r w:rsidR="00284EDE" w:rsidRPr="008D220A">
        <w:rPr>
          <w:rFonts w:ascii="Arial" w:eastAsiaTheme="minorHAnsi" w:hAnsi="Arial" w:cs="Arial"/>
          <w:i/>
          <w:sz w:val="24"/>
          <w:szCs w:val="24"/>
        </w:rPr>
        <w:t>.</w:t>
      </w:r>
    </w:p>
    <w:p w14:paraId="5C4568CE" w14:textId="24E4C95B" w:rsidR="00C86FB7" w:rsidRPr="008D220A" w:rsidRDefault="00C86FB7" w:rsidP="0045115E">
      <w:pPr>
        <w:pStyle w:val="af6"/>
        <w:numPr>
          <w:ilvl w:val="0"/>
          <w:numId w:val="30"/>
        </w:numPr>
        <w:spacing w:after="0" w:line="240" w:lineRule="auto"/>
        <w:ind w:left="284" w:hanging="284"/>
        <w:contextualSpacing w:val="0"/>
        <w:jc w:val="both"/>
        <w:rPr>
          <w:rFonts w:ascii="Arial" w:eastAsiaTheme="minorHAnsi" w:hAnsi="Arial" w:cs="Arial"/>
          <w:i/>
          <w:sz w:val="24"/>
          <w:szCs w:val="24"/>
        </w:rPr>
      </w:pPr>
      <w:r w:rsidRPr="008D220A">
        <w:rPr>
          <w:rFonts w:ascii="Arial" w:eastAsiaTheme="minorHAnsi" w:hAnsi="Arial" w:cs="Arial"/>
          <w:i/>
          <w:sz w:val="24"/>
          <w:szCs w:val="24"/>
        </w:rPr>
        <w:t>A strong and innovative aspect of the project is the financial support mechanism which is being developed with IFC. IFIs, local banks are interested in financing municipal biomass energy projects and are ready to cooperate with the UNDP in establishing of FSM. However, the Project has to further provide TA</w:t>
      </w:r>
      <w:r w:rsidR="00284EDE" w:rsidRPr="008D220A">
        <w:rPr>
          <w:rFonts w:ascii="Arial" w:eastAsiaTheme="minorHAnsi" w:hAnsi="Arial" w:cs="Arial"/>
          <w:i/>
          <w:sz w:val="24"/>
          <w:szCs w:val="24"/>
        </w:rPr>
        <w:t>.</w:t>
      </w:r>
    </w:p>
    <w:p w14:paraId="026D4C67" w14:textId="780D632D" w:rsidR="00284EDE" w:rsidRPr="008D220A" w:rsidRDefault="00C86FB7" w:rsidP="0045115E">
      <w:pPr>
        <w:pStyle w:val="af6"/>
        <w:numPr>
          <w:ilvl w:val="0"/>
          <w:numId w:val="30"/>
        </w:numPr>
        <w:spacing w:after="0" w:line="240" w:lineRule="auto"/>
        <w:ind w:left="284" w:hanging="284"/>
        <w:contextualSpacing w:val="0"/>
        <w:jc w:val="both"/>
        <w:rPr>
          <w:rFonts w:ascii="Arial" w:eastAsiaTheme="minorHAnsi" w:hAnsi="Arial" w:cs="Arial"/>
          <w:i/>
          <w:sz w:val="24"/>
          <w:szCs w:val="24"/>
        </w:rPr>
      </w:pPr>
      <w:r w:rsidRPr="008D220A">
        <w:rPr>
          <w:rFonts w:ascii="Arial" w:eastAsiaTheme="minorHAnsi" w:hAnsi="Arial" w:cs="Arial"/>
          <w:i/>
          <w:sz w:val="24"/>
          <w:szCs w:val="24"/>
        </w:rPr>
        <w:t>The Project has prepared a number of outreach material; some of them are published and found by stakeholders very useful</w:t>
      </w:r>
      <w:r w:rsidR="00284EDE" w:rsidRPr="008D220A">
        <w:rPr>
          <w:rFonts w:ascii="Arial" w:eastAsiaTheme="minorHAnsi" w:hAnsi="Arial" w:cs="Arial"/>
          <w:i/>
          <w:sz w:val="24"/>
          <w:szCs w:val="24"/>
        </w:rPr>
        <w:t>.</w:t>
      </w:r>
    </w:p>
    <w:p w14:paraId="6B7566CF" w14:textId="6B2C6F4A" w:rsidR="00C86FB7" w:rsidRPr="008D220A" w:rsidRDefault="00C86FB7" w:rsidP="0045115E">
      <w:pPr>
        <w:pStyle w:val="af6"/>
        <w:numPr>
          <w:ilvl w:val="0"/>
          <w:numId w:val="30"/>
        </w:numPr>
        <w:spacing w:after="0" w:line="240" w:lineRule="auto"/>
        <w:ind w:left="284" w:hanging="284"/>
        <w:contextualSpacing w:val="0"/>
        <w:jc w:val="both"/>
        <w:rPr>
          <w:rFonts w:ascii="Arial" w:eastAsiaTheme="minorHAnsi" w:hAnsi="Arial" w:cs="Arial"/>
          <w:i/>
          <w:sz w:val="24"/>
          <w:szCs w:val="24"/>
        </w:rPr>
      </w:pPr>
      <w:r w:rsidRPr="008D220A">
        <w:rPr>
          <w:rFonts w:ascii="Arial" w:eastAsiaTheme="minorHAnsi" w:hAnsi="Arial" w:cs="Arial"/>
          <w:i/>
          <w:sz w:val="24"/>
          <w:szCs w:val="24"/>
        </w:rPr>
        <w:t xml:space="preserve">The Project objective and outcomes are </w:t>
      </w:r>
      <w:r w:rsidRPr="008D220A">
        <w:rPr>
          <w:rFonts w:ascii="Arial" w:hAnsi="Arial" w:cs="Arial"/>
          <w:i/>
          <w:sz w:val="24"/>
          <w:szCs w:val="24"/>
        </w:rPr>
        <w:t xml:space="preserve">on target to be achieved. However, in order to </w:t>
      </w:r>
      <w:r w:rsidRPr="008D220A">
        <w:rPr>
          <w:rFonts w:ascii="Arial" w:eastAsiaTheme="minorHAnsi" w:hAnsi="Arial" w:cs="Arial"/>
          <w:i/>
          <w:sz w:val="24"/>
          <w:szCs w:val="24"/>
        </w:rPr>
        <w:t>achieve the end-of-project targets without significant shortcomings the efforts, it is recommended to implement the following recommendations</w:t>
      </w:r>
      <w:r w:rsidR="00284EDE" w:rsidRPr="008D220A">
        <w:rPr>
          <w:rFonts w:ascii="Arial" w:eastAsiaTheme="minorHAnsi" w:hAnsi="Arial" w:cs="Arial"/>
          <w:i/>
          <w:sz w:val="24"/>
          <w:szCs w:val="24"/>
        </w:rPr>
        <w:t>.</w:t>
      </w:r>
      <w:r w:rsidR="00284EDE" w:rsidRPr="008D220A">
        <w:rPr>
          <w:rStyle w:val="aff1"/>
          <w:rFonts w:ascii="Arial" w:eastAsiaTheme="minorHAnsi" w:hAnsi="Arial" w:cs="Arial"/>
          <w:i/>
          <w:sz w:val="24"/>
          <w:szCs w:val="24"/>
        </w:rPr>
        <w:footnoteReference w:id="1"/>
      </w:r>
    </w:p>
    <w:p w14:paraId="6D104ACE" w14:textId="77777777" w:rsidR="0045115E" w:rsidRPr="008D220A" w:rsidRDefault="0045115E" w:rsidP="00684AC0">
      <w:pPr>
        <w:jc w:val="both"/>
        <w:rPr>
          <w:rFonts w:ascii="Arial" w:eastAsiaTheme="minorHAnsi" w:hAnsi="Arial" w:cs="Arial"/>
          <w:i/>
          <w:sz w:val="24"/>
          <w:szCs w:val="24"/>
        </w:rPr>
      </w:pPr>
    </w:p>
    <w:p w14:paraId="0AD8356F" w14:textId="056F9129" w:rsidR="0045115E" w:rsidRPr="008D220A" w:rsidRDefault="0045115E" w:rsidP="00684AC0">
      <w:pPr>
        <w:jc w:val="both"/>
        <w:rPr>
          <w:rFonts w:ascii="Arial" w:eastAsiaTheme="minorHAnsi" w:hAnsi="Arial" w:cs="Arial"/>
          <w:b/>
          <w:sz w:val="24"/>
          <w:szCs w:val="24"/>
        </w:rPr>
      </w:pPr>
      <w:r w:rsidRPr="008D220A">
        <w:rPr>
          <w:rFonts w:ascii="Arial" w:eastAsiaTheme="minorHAnsi" w:hAnsi="Arial" w:cs="Arial"/>
          <w:b/>
          <w:sz w:val="24"/>
          <w:szCs w:val="24"/>
        </w:rPr>
        <w:t xml:space="preserve">The overall project rating by the MTR is “Moderately Satisfactory”. </w:t>
      </w:r>
    </w:p>
    <w:p w14:paraId="31448E81" w14:textId="2E1BC754" w:rsidR="0045115E" w:rsidRPr="008D220A" w:rsidRDefault="0045115E" w:rsidP="002D76F6">
      <w:pPr>
        <w:ind w:right="-711"/>
        <w:jc w:val="both"/>
        <w:rPr>
          <w:rFonts w:ascii="Arial" w:hAnsi="Arial" w:cs="Arial"/>
          <w:b/>
          <w:sz w:val="24"/>
          <w:szCs w:val="24"/>
        </w:rPr>
      </w:pPr>
      <w:r w:rsidRPr="008D220A">
        <w:rPr>
          <w:rFonts w:ascii="Arial" w:hAnsi="Arial" w:cs="Arial"/>
          <w:b/>
          <w:sz w:val="24"/>
          <w:szCs w:val="24"/>
        </w:rPr>
        <w:t>Overall rating for Project Implementation and Adaptive Management is “Satisfactory”</w:t>
      </w:r>
    </w:p>
    <w:p w14:paraId="63C75C60" w14:textId="2655E1A4" w:rsidR="0045115E" w:rsidRPr="008D220A" w:rsidRDefault="0045115E" w:rsidP="0045115E">
      <w:pPr>
        <w:autoSpaceDE w:val="0"/>
        <w:autoSpaceDN w:val="0"/>
        <w:adjustRightInd w:val="0"/>
        <w:jc w:val="both"/>
        <w:rPr>
          <w:rFonts w:ascii="Arial" w:hAnsi="Arial" w:cs="Arial"/>
          <w:b/>
          <w:sz w:val="24"/>
          <w:szCs w:val="24"/>
        </w:rPr>
      </w:pPr>
      <w:r w:rsidRPr="008D220A">
        <w:rPr>
          <w:rFonts w:ascii="Arial" w:hAnsi="Arial" w:cs="Arial"/>
          <w:b/>
          <w:sz w:val="24"/>
          <w:szCs w:val="24"/>
        </w:rPr>
        <w:t>Overall rating for sustainability is Moderately Likely, i.e. moderate risks, but expectations that at least some outcomes will be sustained due to the progress.</w:t>
      </w:r>
    </w:p>
    <w:p w14:paraId="7ABA9A88" w14:textId="77777777" w:rsidR="0045115E" w:rsidRPr="008D220A" w:rsidRDefault="0045115E" w:rsidP="00684AC0">
      <w:pPr>
        <w:jc w:val="both"/>
        <w:rPr>
          <w:rFonts w:ascii="Arial" w:eastAsiaTheme="minorHAnsi" w:hAnsi="Arial" w:cs="Arial"/>
          <w:b/>
          <w:sz w:val="24"/>
          <w:szCs w:val="24"/>
        </w:rPr>
      </w:pPr>
    </w:p>
    <w:p w14:paraId="22B45217" w14:textId="77777777" w:rsidR="00684AC0" w:rsidRPr="008D220A" w:rsidRDefault="0045115E" w:rsidP="00684AC0">
      <w:pPr>
        <w:jc w:val="both"/>
        <w:rPr>
          <w:rFonts w:ascii="Arial" w:eastAsiaTheme="minorHAnsi" w:hAnsi="Arial" w:cs="Arial"/>
          <w:b/>
          <w:sz w:val="24"/>
          <w:szCs w:val="24"/>
        </w:rPr>
      </w:pPr>
      <w:r w:rsidRPr="008D220A">
        <w:rPr>
          <w:rFonts w:ascii="Arial" w:eastAsiaTheme="minorHAnsi" w:hAnsi="Arial" w:cs="Arial"/>
          <w:b/>
          <w:sz w:val="24"/>
          <w:szCs w:val="24"/>
        </w:rPr>
        <w:lastRenderedPageBreak/>
        <w:t xml:space="preserve">The MTR also provided 10 </w:t>
      </w:r>
      <w:r w:rsidR="00684AC0" w:rsidRPr="008D220A">
        <w:rPr>
          <w:rFonts w:ascii="Arial" w:eastAsiaTheme="minorHAnsi" w:hAnsi="Arial" w:cs="Arial"/>
          <w:b/>
          <w:sz w:val="24"/>
          <w:szCs w:val="24"/>
        </w:rPr>
        <w:t xml:space="preserve">key Recommendations </w:t>
      </w:r>
      <w:r w:rsidR="00684AC0" w:rsidRPr="008D220A">
        <w:rPr>
          <w:rFonts w:ascii="Arial" w:eastAsiaTheme="minorHAnsi" w:hAnsi="Arial" w:cs="Arial"/>
          <w:sz w:val="24"/>
          <w:szCs w:val="24"/>
        </w:rPr>
        <w:t xml:space="preserve">related </w:t>
      </w:r>
      <w:r w:rsidR="00684AC0" w:rsidRPr="008D220A">
        <w:rPr>
          <w:rFonts w:ascii="Arial" w:hAnsi="Arial" w:cs="Arial"/>
          <w:sz w:val="24"/>
          <w:szCs w:val="24"/>
        </w:rPr>
        <w:t>to the achievement of the project outcome results, sustainability and project implementation/adaptive management</w:t>
      </w:r>
      <w:r w:rsidR="00684AC0" w:rsidRPr="008D220A">
        <w:rPr>
          <w:rFonts w:ascii="Arial" w:eastAsiaTheme="minorHAnsi" w:hAnsi="Arial" w:cs="Arial"/>
          <w:b/>
          <w:sz w:val="24"/>
          <w:szCs w:val="24"/>
        </w:rPr>
        <w:t xml:space="preserve"> </w:t>
      </w:r>
    </w:p>
    <w:p w14:paraId="65B77841" w14:textId="77777777" w:rsidR="00684AC0" w:rsidRPr="008D220A" w:rsidRDefault="00684AC0" w:rsidP="00684AC0">
      <w:pPr>
        <w:jc w:val="both"/>
        <w:rPr>
          <w:rFonts w:ascii="Arial" w:eastAsiaTheme="minorHAnsi" w:hAnsi="Arial" w:cs="Arial"/>
          <w:b/>
          <w:sz w:val="24"/>
          <w:szCs w:val="24"/>
        </w:rPr>
      </w:pPr>
    </w:p>
    <w:p w14:paraId="47BE058D" w14:textId="7ABDFD9D" w:rsidR="0045115E" w:rsidRPr="008D220A" w:rsidRDefault="00684AC0" w:rsidP="00684AC0">
      <w:pPr>
        <w:jc w:val="both"/>
        <w:rPr>
          <w:rFonts w:ascii="Arial" w:eastAsiaTheme="minorHAnsi" w:hAnsi="Arial" w:cs="Arial"/>
          <w:b/>
          <w:sz w:val="24"/>
          <w:szCs w:val="24"/>
        </w:rPr>
      </w:pPr>
      <w:r w:rsidRPr="008D220A">
        <w:rPr>
          <w:rFonts w:ascii="Arial" w:eastAsiaTheme="minorHAnsi" w:hAnsi="Arial" w:cs="Arial"/>
          <w:b/>
          <w:sz w:val="24"/>
          <w:szCs w:val="24"/>
        </w:rPr>
        <w:t>Recommendations are summarized in the Table below:</w:t>
      </w:r>
    </w:p>
    <w:tbl>
      <w:tblPr>
        <w:tblStyle w:val="a6"/>
        <w:tblW w:w="10598" w:type="dxa"/>
        <w:tblLayout w:type="fixed"/>
        <w:tblLook w:val="04A0" w:firstRow="1" w:lastRow="0" w:firstColumn="1" w:lastColumn="0" w:noHBand="0" w:noVBand="1"/>
      </w:tblPr>
      <w:tblGrid>
        <w:gridCol w:w="9039"/>
        <w:gridCol w:w="1559"/>
      </w:tblGrid>
      <w:tr w:rsidR="008D220A" w:rsidRPr="008D220A" w14:paraId="02E0610E" w14:textId="77777777" w:rsidTr="002D76F6">
        <w:tc>
          <w:tcPr>
            <w:tcW w:w="9039" w:type="dxa"/>
            <w:shd w:val="clear" w:color="auto" w:fill="C6D9F1" w:themeFill="text2" w:themeFillTint="33"/>
          </w:tcPr>
          <w:p w14:paraId="7F5F81C3"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Recommendation</w:t>
            </w:r>
          </w:p>
        </w:tc>
        <w:tc>
          <w:tcPr>
            <w:tcW w:w="1559" w:type="dxa"/>
            <w:shd w:val="clear" w:color="auto" w:fill="C6D9F1" w:themeFill="text2" w:themeFillTint="33"/>
          </w:tcPr>
          <w:p w14:paraId="0E022209"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Entity Responsible</w:t>
            </w:r>
          </w:p>
        </w:tc>
      </w:tr>
      <w:tr w:rsidR="008D220A" w:rsidRPr="008D220A" w14:paraId="6DF191E2" w14:textId="77777777" w:rsidTr="002D76F6">
        <w:tc>
          <w:tcPr>
            <w:tcW w:w="9039" w:type="dxa"/>
          </w:tcPr>
          <w:p w14:paraId="6A79CC26" w14:textId="77777777" w:rsidR="00684AC0" w:rsidRPr="008D220A" w:rsidRDefault="00684AC0" w:rsidP="00684AC0">
            <w:pPr>
              <w:rPr>
                <w:rFonts w:ascii="Arial" w:eastAsiaTheme="minorHAnsi" w:hAnsi="Arial" w:cs="Arial"/>
                <w:b/>
                <w:sz w:val="24"/>
                <w:szCs w:val="24"/>
                <w:lang w:val="en-US"/>
              </w:rPr>
            </w:pPr>
            <w:r w:rsidRPr="008D220A">
              <w:rPr>
                <w:rFonts w:ascii="Arial" w:eastAsiaTheme="minorHAnsi" w:hAnsi="Arial" w:cs="Arial"/>
                <w:b/>
                <w:sz w:val="24"/>
                <w:szCs w:val="24"/>
                <w:lang w:val="en-US"/>
              </w:rPr>
              <w:t>Outcome 1:</w:t>
            </w:r>
          </w:p>
        </w:tc>
        <w:tc>
          <w:tcPr>
            <w:tcW w:w="1559" w:type="dxa"/>
          </w:tcPr>
          <w:p w14:paraId="5D99BCEC" w14:textId="77777777" w:rsidR="00684AC0" w:rsidRPr="008D220A" w:rsidRDefault="00684AC0" w:rsidP="00684AC0">
            <w:pPr>
              <w:rPr>
                <w:rFonts w:ascii="Arial" w:eastAsiaTheme="minorHAnsi" w:hAnsi="Arial" w:cs="Arial"/>
                <w:b/>
                <w:sz w:val="24"/>
                <w:szCs w:val="24"/>
                <w:lang w:val="en-US"/>
              </w:rPr>
            </w:pPr>
          </w:p>
        </w:tc>
      </w:tr>
      <w:tr w:rsidR="008D220A" w:rsidRPr="008D220A" w14:paraId="7297F813" w14:textId="77777777" w:rsidTr="002D76F6">
        <w:tc>
          <w:tcPr>
            <w:tcW w:w="9039" w:type="dxa"/>
          </w:tcPr>
          <w:p w14:paraId="46CE637C" w14:textId="77777777" w:rsidR="00684AC0" w:rsidRPr="008D220A" w:rsidRDefault="00684AC0" w:rsidP="00684AC0">
            <w:pPr>
              <w:rPr>
                <w:rFonts w:ascii="Arial" w:eastAsiaTheme="minorHAnsi" w:hAnsi="Arial" w:cs="Arial"/>
                <w:sz w:val="24"/>
                <w:szCs w:val="24"/>
                <w:lang w:val="en-US"/>
              </w:rPr>
            </w:pPr>
            <w:r w:rsidRPr="008D220A">
              <w:rPr>
                <w:rFonts w:ascii="Arial" w:eastAsia="Calibri" w:hAnsi="Arial" w:cs="Arial"/>
                <w:sz w:val="24"/>
                <w:szCs w:val="24"/>
                <w:u w:val="single"/>
                <w:lang w:val="en-US"/>
              </w:rPr>
              <w:t>Recommendation 2</w:t>
            </w:r>
            <w:r w:rsidRPr="008D220A">
              <w:rPr>
                <w:rStyle w:val="aff1"/>
                <w:rFonts w:ascii="Arial" w:eastAsia="Calibri" w:hAnsi="Arial" w:cs="Arial"/>
                <w:sz w:val="24"/>
                <w:szCs w:val="24"/>
                <w:lang w:val="en-US"/>
              </w:rPr>
              <w:footnoteReference w:id="2"/>
            </w:r>
            <w:r w:rsidRPr="008D220A">
              <w:rPr>
                <w:rFonts w:ascii="Arial" w:eastAsia="Calibri" w:hAnsi="Arial" w:cs="Arial"/>
                <w:sz w:val="24"/>
                <w:szCs w:val="24"/>
                <w:lang w:val="en-US"/>
              </w:rPr>
              <w:t>: Provide Technical Assistance in the development of the National Programme / Action Plan on use of biomass energy in municipal services</w:t>
            </w:r>
          </w:p>
        </w:tc>
        <w:tc>
          <w:tcPr>
            <w:tcW w:w="1559" w:type="dxa"/>
          </w:tcPr>
          <w:p w14:paraId="76CB5C11" w14:textId="77777777" w:rsidR="00684AC0" w:rsidRPr="008D220A" w:rsidRDefault="00684AC0" w:rsidP="002D76F6">
            <w:pPr>
              <w:ind w:left="-534" w:firstLine="534"/>
              <w:rPr>
                <w:rFonts w:ascii="Arial" w:eastAsiaTheme="minorHAnsi" w:hAnsi="Arial" w:cs="Arial"/>
                <w:sz w:val="24"/>
                <w:szCs w:val="24"/>
                <w:lang w:val="en-US"/>
              </w:rPr>
            </w:pPr>
            <w:r w:rsidRPr="008D220A">
              <w:rPr>
                <w:rFonts w:ascii="Arial" w:eastAsiaTheme="minorHAnsi" w:hAnsi="Arial" w:cs="Arial"/>
                <w:sz w:val="24"/>
                <w:szCs w:val="24"/>
                <w:lang w:val="en-US"/>
              </w:rPr>
              <w:t>Team</w:t>
            </w:r>
          </w:p>
        </w:tc>
      </w:tr>
      <w:tr w:rsidR="008D220A" w:rsidRPr="008D220A" w14:paraId="7F0479A7" w14:textId="77777777" w:rsidTr="002D76F6">
        <w:tc>
          <w:tcPr>
            <w:tcW w:w="9039" w:type="dxa"/>
          </w:tcPr>
          <w:p w14:paraId="7DCE666A" w14:textId="77777777" w:rsidR="00684AC0" w:rsidRPr="008D220A" w:rsidRDefault="00684AC0" w:rsidP="00684AC0">
            <w:pPr>
              <w:tabs>
                <w:tab w:val="left" w:pos="-1701"/>
              </w:tabs>
              <w:spacing w:line="259" w:lineRule="auto"/>
              <w:jc w:val="both"/>
              <w:rPr>
                <w:rFonts w:ascii="Arial" w:eastAsia="Calibri" w:hAnsi="Arial" w:cs="Arial"/>
                <w:sz w:val="24"/>
                <w:szCs w:val="24"/>
                <w:lang w:val="en-US"/>
              </w:rPr>
            </w:pPr>
            <w:r w:rsidRPr="008D220A">
              <w:rPr>
                <w:rFonts w:ascii="Arial" w:eastAsia="Calibri" w:hAnsi="Arial" w:cs="Arial"/>
                <w:sz w:val="24"/>
                <w:szCs w:val="24"/>
                <w:u w:val="single"/>
                <w:lang w:val="en-US"/>
              </w:rPr>
              <w:t>Recommendation 9</w:t>
            </w:r>
            <w:r w:rsidRPr="008D220A">
              <w:rPr>
                <w:rFonts w:ascii="Arial" w:eastAsia="Calibri" w:hAnsi="Arial" w:cs="Arial"/>
                <w:sz w:val="24"/>
                <w:szCs w:val="24"/>
                <w:lang w:val="en-US"/>
              </w:rPr>
              <w:t xml:space="preserve">: Intensify cooperation with the stakeholders (Verkhovna Rada, Bioenergy Association of Ukraine, Ukrainian Pellet Union,  all-Ukrainian association of local self-governments "Association of Ukrainian Cities" </w:t>
            </w:r>
          </w:p>
        </w:tc>
        <w:tc>
          <w:tcPr>
            <w:tcW w:w="1559" w:type="dxa"/>
          </w:tcPr>
          <w:p w14:paraId="723BE671"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w:t>
            </w:r>
          </w:p>
        </w:tc>
      </w:tr>
      <w:tr w:rsidR="008D220A" w:rsidRPr="008D220A" w14:paraId="356E104C" w14:textId="77777777" w:rsidTr="002D76F6">
        <w:tc>
          <w:tcPr>
            <w:tcW w:w="9039" w:type="dxa"/>
          </w:tcPr>
          <w:p w14:paraId="6C21E71A" w14:textId="77777777" w:rsidR="00684AC0" w:rsidRPr="008D220A" w:rsidRDefault="00684AC0" w:rsidP="00684AC0">
            <w:pPr>
              <w:rPr>
                <w:rFonts w:ascii="Arial" w:eastAsiaTheme="minorHAnsi" w:hAnsi="Arial" w:cs="Arial"/>
                <w:b/>
                <w:sz w:val="24"/>
                <w:szCs w:val="24"/>
                <w:lang w:val="en-US"/>
              </w:rPr>
            </w:pPr>
            <w:r w:rsidRPr="008D220A">
              <w:rPr>
                <w:rFonts w:ascii="Arial" w:eastAsiaTheme="minorHAnsi" w:hAnsi="Arial" w:cs="Arial"/>
                <w:b/>
                <w:sz w:val="24"/>
                <w:szCs w:val="24"/>
                <w:lang w:val="en-US"/>
              </w:rPr>
              <w:t>Outcome 2:</w:t>
            </w:r>
          </w:p>
        </w:tc>
        <w:tc>
          <w:tcPr>
            <w:tcW w:w="1559" w:type="dxa"/>
          </w:tcPr>
          <w:p w14:paraId="6BABB5E5" w14:textId="77777777" w:rsidR="00684AC0" w:rsidRPr="008D220A" w:rsidRDefault="00684AC0" w:rsidP="00684AC0">
            <w:pPr>
              <w:rPr>
                <w:rFonts w:ascii="Arial" w:eastAsiaTheme="minorHAnsi" w:hAnsi="Arial" w:cs="Arial"/>
                <w:b/>
                <w:sz w:val="24"/>
                <w:szCs w:val="24"/>
                <w:lang w:val="en-US"/>
              </w:rPr>
            </w:pPr>
          </w:p>
        </w:tc>
      </w:tr>
      <w:tr w:rsidR="008D220A" w:rsidRPr="008D220A" w14:paraId="496CB807" w14:textId="77777777" w:rsidTr="002D76F6">
        <w:tc>
          <w:tcPr>
            <w:tcW w:w="9039" w:type="dxa"/>
          </w:tcPr>
          <w:p w14:paraId="2F7FDA1C" w14:textId="77777777" w:rsidR="00684AC0" w:rsidRPr="008D220A" w:rsidRDefault="00684AC0" w:rsidP="00684AC0">
            <w:pPr>
              <w:rPr>
                <w:rFonts w:ascii="Arial" w:eastAsiaTheme="minorHAnsi" w:hAnsi="Arial" w:cs="Arial"/>
                <w:sz w:val="24"/>
                <w:szCs w:val="24"/>
                <w:lang w:val="en-US"/>
              </w:rPr>
            </w:pPr>
            <w:r w:rsidRPr="008D220A">
              <w:rPr>
                <w:rFonts w:ascii="Arial" w:eastAsia="Calibri" w:hAnsi="Arial" w:cs="Arial"/>
                <w:sz w:val="24"/>
                <w:szCs w:val="24"/>
                <w:u w:val="single"/>
                <w:lang w:val="en-US"/>
              </w:rPr>
              <w:t>Recommendation 7</w:t>
            </w:r>
            <w:r w:rsidRPr="008D220A">
              <w:rPr>
                <w:rFonts w:ascii="Arial" w:eastAsia="Calibri" w:hAnsi="Arial" w:cs="Arial"/>
                <w:sz w:val="24"/>
                <w:szCs w:val="24"/>
                <w:lang w:val="en-US"/>
              </w:rPr>
              <w:t>: Provide assistance to the municipalities – signatories of Covenant of Mayors</w:t>
            </w:r>
          </w:p>
        </w:tc>
        <w:tc>
          <w:tcPr>
            <w:tcW w:w="1559" w:type="dxa"/>
          </w:tcPr>
          <w:p w14:paraId="56DF23C9"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Board</w:t>
            </w:r>
          </w:p>
        </w:tc>
      </w:tr>
      <w:tr w:rsidR="008D220A" w:rsidRPr="008D220A" w14:paraId="28D2D845" w14:textId="77777777" w:rsidTr="002D76F6">
        <w:tc>
          <w:tcPr>
            <w:tcW w:w="9039" w:type="dxa"/>
          </w:tcPr>
          <w:p w14:paraId="2F1F22B1" w14:textId="77777777" w:rsidR="00684AC0" w:rsidRPr="008D220A" w:rsidRDefault="00684AC0" w:rsidP="00684AC0">
            <w:pPr>
              <w:rPr>
                <w:rFonts w:ascii="Arial" w:eastAsiaTheme="minorHAnsi" w:hAnsi="Arial" w:cs="Arial"/>
                <w:b/>
                <w:sz w:val="24"/>
                <w:szCs w:val="24"/>
                <w:lang w:val="en-US"/>
              </w:rPr>
            </w:pPr>
            <w:r w:rsidRPr="008D220A">
              <w:rPr>
                <w:rFonts w:ascii="Arial" w:eastAsiaTheme="minorHAnsi" w:hAnsi="Arial" w:cs="Arial"/>
                <w:b/>
                <w:sz w:val="24"/>
                <w:szCs w:val="24"/>
                <w:lang w:val="en-US"/>
              </w:rPr>
              <w:t>Outcome 3:</w:t>
            </w:r>
          </w:p>
        </w:tc>
        <w:tc>
          <w:tcPr>
            <w:tcW w:w="1559" w:type="dxa"/>
          </w:tcPr>
          <w:p w14:paraId="5882B126" w14:textId="77777777" w:rsidR="00684AC0" w:rsidRPr="008D220A" w:rsidRDefault="00684AC0" w:rsidP="00684AC0">
            <w:pPr>
              <w:rPr>
                <w:rFonts w:ascii="Arial" w:eastAsiaTheme="minorHAnsi" w:hAnsi="Arial" w:cs="Arial"/>
                <w:b/>
                <w:sz w:val="24"/>
                <w:szCs w:val="24"/>
                <w:lang w:val="en-US"/>
              </w:rPr>
            </w:pPr>
          </w:p>
        </w:tc>
      </w:tr>
      <w:tr w:rsidR="008D220A" w:rsidRPr="008D220A" w14:paraId="079D5B90" w14:textId="77777777" w:rsidTr="002D76F6">
        <w:tc>
          <w:tcPr>
            <w:tcW w:w="9039" w:type="dxa"/>
          </w:tcPr>
          <w:p w14:paraId="420D65F9" w14:textId="77777777" w:rsidR="00684AC0" w:rsidRPr="008D220A" w:rsidRDefault="00684AC0" w:rsidP="00684AC0">
            <w:pPr>
              <w:spacing w:after="120" w:line="259" w:lineRule="auto"/>
              <w:rPr>
                <w:rFonts w:ascii="Arial" w:eastAsia="Calibri" w:hAnsi="Arial" w:cs="Arial"/>
                <w:sz w:val="24"/>
                <w:szCs w:val="24"/>
                <w:lang w:val="en-US"/>
              </w:rPr>
            </w:pPr>
            <w:r w:rsidRPr="008D220A">
              <w:rPr>
                <w:rFonts w:ascii="Arial" w:eastAsia="Calibri" w:hAnsi="Arial" w:cs="Arial"/>
                <w:sz w:val="24"/>
                <w:szCs w:val="24"/>
                <w:u w:val="single"/>
                <w:lang w:val="en-US"/>
              </w:rPr>
              <w:t>Recommendation 1</w:t>
            </w:r>
            <w:r w:rsidRPr="008D220A">
              <w:rPr>
                <w:rFonts w:ascii="Arial" w:eastAsia="Calibri" w:hAnsi="Arial" w:cs="Arial"/>
                <w:sz w:val="24"/>
                <w:szCs w:val="24"/>
                <w:lang w:val="en-US"/>
              </w:rPr>
              <w:t xml:space="preserve">: Provide further assistance to the Financial Support Mechanism </w:t>
            </w:r>
          </w:p>
        </w:tc>
        <w:tc>
          <w:tcPr>
            <w:tcW w:w="1559" w:type="dxa"/>
          </w:tcPr>
          <w:p w14:paraId="170DCDD0"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Board, FSM</w:t>
            </w:r>
          </w:p>
        </w:tc>
      </w:tr>
      <w:tr w:rsidR="008D220A" w:rsidRPr="008D220A" w14:paraId="53FCBF34" w14:textId="77777777" w:rsidTr="002D76F6">
        <w:tc>
          <w:tcPr>
            <w:tcW w:w="9039" w:type="dxa"/>
          </w:tcPr>
          <w:p w14:paraId="1AC17F97" w14:textId="77777777" w:rsidR="00684AC0" w:rsidRPr="008D220A" w:rsidRDefault="00684AC0" w:rsidP="00684AC0">
            <w:pPr>
              <w:spacing w:after="120" w:line="259" w:lineRule="auto"/>
              <w:rPr>
                <w:rFonts w:ascii="Arial" w:hAnsi="Arial" w:cs="Arial"/>
                <w:sz w:val="24"/>
                <w:szCs w:val="24"/>
              </w:rPr>
            </w:pPr>
            <w:r w:rsidRPr="008D220A">
              <w:rPr>
                <w:rFonts w:ascii="Arial" w:hAnsi="Arial" w:cs="Arial"/>
                <w:sz w:val="24"/>
                <w:szCs w:val="24"/>
                <w:u w:val="single"/>
                <w:lang w:val="en-US"/>
              </w:rPr>
              <w:t>Recommendation 3</w:t>
            </w:r>
            <w:r w:rsidRPr="008D220A">
              <w:rPr>
                <w:rFonts w:ascii="Arial" w:hAnsi="Arial" w:cs="Arial"/>
                <w:sz w:val="24"/>
                <w:szCs w:val="24"/>
                <w:lang w:val="en-US"/>
              </w:rPr>
              <w:t>: Conduct Monitoring &amp; Evaluation of the operation of pilot projects</w:t>
            </w:r>
          </w:p>
        </w:tc>
        <w:tc>
          <w:tcPr>
            <w:tcW w:w="1559" w:type="dxa"/>
          </w:tcPr>
          <w:p w14:paraId="0C487D54"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FSM</w:t>
            </w:r>
          </w:p>
        </w:tc>
      </w:tr>
      <w:tr w:rsidR="008D220A" w:rsidRPr="008D220A" w14:paraId="44CFC336" w14:textId="77777777" w:rsidTr="002D76F6">
        <w:tc>
          <w:tcPr>
            <w:tcW w:w="9039" w:type="dxa"/>
          </w:tcPr>
          <w:p w14:paraId="0FBA087C" w14:textId="77777777" w:rsidR="00684AC0" w:rsidRPr="008D220A" w:rsidRDefault="00684AC0" w:rsidP="00684AC0">
            <w:pPr>
              <w:rPr>
                <w:rFonts w:ascii="Arial" w:eastAsiaTheme="minorHAnsi" w:hAnsi="Arial" w:cs="Arial"/>
                <w:b/>
                <w:sz w:val="24"/>
                <w:szCs w:val="24"/>
                <w:lang w:val="en-US"/>
              </w:rPr>
            </w:pPr>
            <w:r w:rsidRPr="008D220A">
              <w:rPr>
                <w:rFonts w:ascii="Arial" w:eastAsiaTheme="minorHAnsi" w:hAnsi="Arial" w:cs="Arial"/>
                <w:b/>
                <w:sz w:val="24"/>
                <w:szCs w:val="24"/>
                <w:lang w:val="en-US"/>
              </w:rPr>
              <w:t>Outcome 4:</w:t>
            </w:r>
          </w:p>
        </w:tc>
        <w:tc>
          <w:tcPr>
            <w:tcW w:w="1559" w:type="dxa"/>
          </w:tcPr>
          <w:p w14:paraId="6EE43B9C" w14:textId="77777777" w:rsidR="00684AC0" w:rsidRPr="008D220A" w:rsidRDefault="00684AC0" w:rsidP="00684AC0">
            <w:pPr>
              <w:rPr>
                <w:rFonts w:ascii="Arial" w:eastAsiaTheme="minorHAnsi" w:hAnsi="Arial" w:cs="Arial"/>
                <w:b/>
                <w:sz w:val="24"/>
                <w:szCs w:val="24"/>
                <w:lang w:val="en-US"/>
              </w:rPr>
            </w:pPr>
          </w:p>
        </w:tc>
      </w:tr>
      <w:tr w:rsidR="008D220A" w:rsidRPr="008D220A" w14:paraId="7D10576E" w14:textId="77777777" w:rsidTr="002D76F6">
        <w:tc>
          <w:tcPr>
            <w:tcW w:w="9039" w:type="dxa"/>
          </w:tcPr>
          <w:p w14:paraId="7520FBF7" w14:textId="77777777" w:rsidR="00684AC0" w:rsidRPr="008D220A" w:rsidRDefault="00684AC0" w:rsidP="00684AC0">
            <w:pPr>
              <w:spacing w:after="120"/>
              <w:rPr>
                <w:rFonts w:ascii="Arial" w:eastAsiaTheme="minorHAnsi" w:hAnsi="Arial" w:cs="Arial"/>
                <w:sz w:val="24"/>
                <w:szCs w:val="24"/>
                <w:lang w:val="en-US"/>
              </w:rPr>
            </w:pPr>
            <w:r w:rsidRPr="008D220A">
              <w:rPr>
                <w:rFonts w:ascii="Arial" w:eastAsia="Calibri" w:hAnsi="Arial" w:cs="Arial"/>
                <w:sz w:val="24"/>
                <w:szCs w:val="24"/>
                <w:lang w:val="en-US"/>
              </w:rPr>
              <w:t>Recommendation 4: Intensify Outreach programme and dissemination of project experience/ best practices/lessons learned</w:t>
            </w:r>
          </w:p>
        </w:tc>
        <w:tc>
          <w:tcPr>
            <w:tcW w:w="1559" w:type="dxa"/>
          </w:tcPr>
          <w:p w14:paraId="0D6F2CA4"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FSM</w:t>
            </w:r>
          </w:p>
        </w:tc>
      </w:tr>
      <w:tr w:rsidR="008D220A" w:rsidRPr="008D220A" w14:paraId="65CA3725" w14:textId="77777777" w:rsidTr="002D76F6">
        <w:tc>
          <w:tcPr>
            <w:tcW w:w="9039" w:type="dxa"/>
          </w:tcPr>
          <w:p w14:paraId="015D0B48" w14:textId="77777777" w:rsidR="00684AC0" w:rsidRPr="008D220A" w:rsidRDefault="00684AC0" w:rsidP="00684AC0">
            <w:pPr>
              <w:rPr>
                <w:rFonts w:ascii="Arial" w:eastAsiaTheme="minorHAnsi" w:hAnsi="Arial" w:cs="Arial"/>
                <w:b/>
                <w:sz w:val="24"/>
                <w:szCs w:val="24"/>
                <w:lang w:val="en-US"/>
              </w:rPr>
            </w:pPr>
            <w:r w:rsidRPr="008D220A">
              <w:rPr>
                <w:rFonts w:ascii="Arial" w:eastAsiaTheme="minorHAnsi" w:hAnsi="Arial" w:cs="Arial"/>
                <w:b/>
                <w:sz w:val="24"/>
                <w:szCs w:val="24"/>
                <w:lang w:val="en-US"/>
              </w:rPr>
              <w:t>Project Implementation &amp; Adaptive Management</w:t>
            </w:r>
          </w:p>
        </w:tc>
        <w:tc>
          <w:tcPr>
            <w:tcW w:w="1559" w:type="dxa"/>
          </w:tcPr>
          <w:p w14:paraId="698671D7" w14:textId="77777777" w:rsidR="00684AC0" w:rsidRPr="008D220A" w:rsidRDefault="00684AC0" w:rsidP="00684AC0">
            <w:pPr>
              <w:rPr>
                <w:rFonts w:ascii="Arial" w:eastAsiaTheme="minorHAnsi" w:hAnsi="Arial" w:cs="Arial"/>
                <w:b/>
                <w:sz w:val="24"/>
                <w:szCs w:val="24"/>
                <w:lang w:val="en-US"/>
              </w:rPr>
            </w:pPr>
          </w:p>
        </w:tc>
      </w:tr>
      <w:tr w:rsidR="008D220A" w:rsidRPr="008D220A" w14:paraId="69969B7A" w14:textId="77777777" w:rsidTr="002D76F6">
        <w:tc>
          <w:tcPr>
            <w:tcW w:w="9039" w:type="dxa"/>
          </w:tcPr>
          <w:p w14:paraId="6F7CE9C7" w14:textId="77777777" w:rsidR="00684AC0" w:rsidRPr="008D220A" w:rsidRDefault="00684AC0" w:rsidP="00684AC0">
            <w:pPr>
              <w:spacing w:after="120"/>
              <w:rPr>
                <w:rFonts w:ascii="Arial" w:eastAsiaTheme="minorHAnsi" w:hAnsi="Arial" w:cs="Arial"/>
                <w:sz w:val="24"/>
                <w:szCs w:val="24"/>
                <w:lang w:val="en-US"/>
              </w:rPr>
            </w:pPr>
            <w:r w:rsidRPr="008D220A">
              <w:rPr>
                <w:rFonts w:ascii="Arial" w:eastAsia="Calibri" w:hAnsi="Arial" w:cs="Arial"/>
                <w:sz w:val="24"/>
                <w:szCs w:val="24"/>
                <w:u w:val="single"/>
                <w:lang w:val="en-US"/>
              </w:rPr>
              <w:t>Recommendation 5</w:t>
            </w:r>
            <w:r w:rsidRPr="008D220A">
              <w:rPr>
                <w:rFonts w:ascii="Arial" w:eastAsia="Calibri" w:hAnsi="Arial" w:cs="Arial"/>
                <w:sz w:val="24"/>
                <w:szCs w:val="24"/>
                <w:lang w:val="en-US"/>
              </w:rPr>
              <w:t>: Re-allocate the remaining funds for the hard components of the pilot projects to the TA</w:t>
            </w:r>
          </w:p>
        </w:tc>
        <w:tc>
          <w:tcPr>
            <w:tcW w:w="1559" w:type="dxa"/>
          </w:tcPr>
          <w:p w14:paraId="26216118"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Board, CO</w:t>
            </w:r>
          </w:p>
        </w:tc>
      </w:tr>
      <w:tr w:rsidR="008D220A" w:rsidRPr="008D220A" w14:paraId="25FAB48E" w14:textId="77777777" w:rsidTr="002D76F6">
        <w:tc>
          <w:tcPr>
            <w:tcW w:w="9039" w:type="dxa"/>
          </w:tcPr>
          <w:p w14:paraId="51BB1C74" w14:textId="77777777" w:rsidR="00684AC0" w:rsidRPr="008D220A" w:rsidRDefault="00684AC0" w:rsidP="00684AC0">
            <w:pPr>
              <w:spacing w:after="120"/>
              <w:rPr>
                <w:rFonts w:ascii="Arial" w:eastAsiaTheme="minorHAnsi" w:hAnsi="Arial" w:cs="Arial"/>
                <w:sz w:val="24"/>
                <w:szCs w:val="24"/>
                <w:lang w:val="en-US"/>
              </w:rPr>
            </w:pPr>
            <w:r w:rsidRPr="008D220A">
              <w:rPr>
                <w:rFonts w:ascii="Arial" w:eastAsia="Calibri" w:hAnsi="Arial" w:cs="Arial"/>
                <w:sz w:val="24"/>
                <w:szCs w:val="24"/>
                <w:u w:val="single"/>
                <w:lang w:val="en-US"/>
              </w:rPr>
              <w:t>Recommendation 8</w:t>
            </w:r>
            <w:r w:rsidRPr="008D220A">
              <w:rPr>
                <w:rFonts w:ascii="Arial" w:eastAsia="Calibri" w:hAnsi="Arial" w:cs="Arial"/>
                <w:sz w:val="24"/>
                <w:szCs w:val="24"/>
                <w:lang w:val="en-US"/>
              </w:rPr>
              <w:t>: Consider Baseline methane emissions in the GHG reduction calculation</w:t>
            </w:r>
          </w:p>
        </w:tc>
        <w:tc>
          <w:tcPr>
            <w:tcW w:w="1559" w:type="dxa"/>
          </w:tcPr>
          <w:p w14:paraId="123F6B0E"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w:t>
            </w:r>
          </w:p>
        </w:tc>
      </w:tr>
      <w:tr w:rsidR="008D220A" w:rsidRPr="008D220A" w14:paraId="5266438A" w14:textId="77777777" w:rsidTr="002D76F6">
        <w:tc>
          <w:tcPr>
            <w:tcW w:w="9039" w:type="dxa"/>
          </w:tcPr>
          <w:p w14:paraId="39C033D1" w14:textId="77777777" w:rsidR="00684AC0" w:rsidRPr="008D220A" w:rsidRDefault="00684AC0" w:rsidP="00684AC0">
            <w:pPr>
              <w:rPr>
                <w:rFonts w:ascii="Arial" w:eastAsiaTheme="minorHAnsi" w:hAnsi="Arial" w:cs="Arial"/>
                <w:b/>
                <w:sz w:val="24"/>
                <w:szCs w:val="24"/>
                <w:lang w:val="en-US"/>
              </w:rPr>
            </w:pPr>
            <w:r w:rsidRPr="008D220A">
              <w:rPr>
                <w:rFonts w:ascii="Arial" w:eastAsiaTheme="minorHAnsi" w:hAnsi="Arial" w:cs="Arial"/>
                <w:b/>
                <w:sz w:val="24"/>
                <w:szCs w:val="24"/>
                <w:lang w:val="en-US"/>
              </w:rPr>
              <w:t>Sustainability</w:t>
            </w:r>
          </w:p>
        </w:tc>
        <w:tc>
          <w:tcPr>
            <w:tcW w:w="1559" w:type="dxa"/>
          </w:tcPr>
          <w:p w14:paraId="1D90ADBF" w14:textId="77777777" w:rsidR="00684AC0" w:rsidRPr="008D220A" w:rsidRDefault="00684AC0" w:rsidP="00684AC0">
            <w:pPr>
              <w:rPr>
                <w:rFonts w:ascii="Arial" w:eastAsiaTheme="minorHAnsi" w:hAnsi="Arial" w:cs="Arial"/>
                <w:b/>
                <w:sz w:val="24"/>
                <w:szCs w:val="24"/>
                <w:lang w:val="en-US"/>
              </w:rPr>
            </w:pPr>
          </w:p>
        </w:tc>
      </w:tr>
      <w:tr w:rsidR="008D220A" w:rsidRPr="008D220A" w14:paraId="520DE1BA" w14:textId="77777777" w:rsidTr="002D76F6">
        <w:tc>
          <w:tcPr>
            <w:tcW w:w="9039" w:type="dxa"/>
          </w:tcPr>
          <w:p w14:paraId="203CDBD8" w14:textId="77777777" w:rsidR="00684AC0" w:rsidRPr="008D220A" w:rsidRDefault="00684AC0" w:rsidP="00684AC0">
            <w:pPr>
              <w:spacing w:after="120"/>
              <w:rPr>
                <w:rFonts w:ascii="Arial" w:eastAsiaTheme="minorHAnsi" w:hAnsi="Arial" w:cs="Arial"/>
                <w:sz w:val="24"/>
                <w:szCs w:val="24"/>
                <w:lang w:val="en-US"/>
              </w:rPr>
            </w:pPr>
            <w:r w:rsidRPr="008D220A">
              <w:rPr>
                <w:rFonts w:ascii="Arial" w:hAnsi="Arial" w:cs="Arial"/>
                <w:sz w:val="24"/>
                <w:szCs w:val="24"/>
                <w:u w:val="single"/>
                <w:lang w:val="en-US"/>
              </w:rPr>
              <w:t>Recommendation 10: Revise the Project Results Framework and the Exit Strategy</w:t>
            </w:r>
            <w:r w:rsidRPr="008D220A">
              <w:rPr>
                <w:rFonts w:ascii="Arial" w:eastAsia="Calibri" w:hAnsi="Arial" w:cs="Arial"/>
                <w:sz w:val="24"/>
                <w:szCs w:val="24"/>
                <w:u w:val="single"/>
                <w:lang w:val="en-US"/>
              </w:rPr>
              <w:t xml:space="preserve"> </w:t>
            </w:r>
          </w:p>
        </w:tc>
        <w:tc>
          <w:tcPr>
            <w:tcW w:w="1559" w:type="dxa"/>
          </w:tcPr>
          <w:p w14:paraId="59CABEFD"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Board, CO</w:t>
            </w:r>
          </w:p>
        </w:tc>
      </w:tr>
      <w:tr w:rsidR="002D76F6" w:rsidRPr="008D220A" w14:paraId="0AD25A67" w14:textId="77777777" w:rsidTr="002D76F6">
        <w:tc>
          <w:tcPr>
            <w:tcW w:w="9039" w:type="dxa"/>
          </w:tcPr>
          <w:p w14:paraId="0EDF11A4" w14:textId="77777777" w:rsidR="00684AC0" w:rsidRPr="008D220A" w:rsidRDefault="00684AC0" w:rsidP="00684AC0">
            <w:pPr>
              <w:spacing w:after="120" w:line="259" w:lineRule="auto"/>
              <w:rPr>
                <w:rFonts w:ascii="Arial" w:hAnsi="Arial" w:cs="Arial"/>
                <w:b/>
                <w:sz w:val="24"/>
                <w:szCs w:val="24"/>
                <w:u w:val="single"/>
              </w:rPr>
            </w:pPr>
            <w:r w:rsidRPr="008D220A">
              <w:rPr>
                <w:rFonts w:ascii="Arial" w:eastAsia="Calibri" w:hAnsi="Arial" w:cs="Arial"/>
                <w:sz w:val="24"/>
                <w:szCs w:val="24"/>
                <w:u w:val="single"/>
                <w:lang w:val="en-US"/>
              </w:rPr>
              <w:t>Recommendation 6</w:t>
            </w:r>
            <w:r w:rsidRPr="008D220A">
              <w:rPr>
                <w:rFonts w:ascii="Arial" w:eastAsia="Calibri" w:hAnsi="Arial" w:cs="Arial"/>
                <w:sz w:val="24"/>
                <w:szCs w:val="24"/>
                <w:lang w:val="en-US"/>
              </w:rPr>
              <w:t>: Extend the duration of the Project by 21 months until the end of 2019</w:t>
            </w:r>
          </w:p>
        </w:tc>
        <w:tc>
          <w:tcPr>
            <w:tcW w:w="1559" w:type="dxa"/>
          </w:tcPr>
          <w:p w14:paraId="1EB46D50" w14:textId="77777777" w:rsidR="00684AC0" w:rsidRPr="008D220A" w:rsidRDefault="00684AC0" w:rsidP="00684AC0">
            <w:pPr>
              <w:rPr>
                <w:rFonts w:ascii="Arial" w:eastAsiaTheme="minorHAnsi" w:hAnsi="Arial" w:cs="Arial"/>
                <w:sz w:val="24"/>
                <w:szCs w:val="24"/>
                <w:lang w:val="en-US"/>
              </w:rPr>
            </w:pPr>
            <w:r w:rsidRPr="008D220A">
              <w:rPr>
                <w:rFonts w:ascii="Arial" w:eastAsiaTheme="minorHAnsi" w:hAnsi="Arial" w:cs="Arial"/>
                <w:sz w:val="24"/>
                <w:szCs w:val="24"/>
                <w:lang w:val="en-US"/>
              </w:rPr>
              <w:t>Team, Board, CO</w:t>
            </w:r>
          </w:p>
        </w:tc>
      </w:tr>
    </w:tbl>
    <w:p w14:paraId="75A831A0" w14:textId="77777777" w:rsidR="00684AC0" w:rsidRPr="008D220A" w:rsidRDefault="00684AC0" w:rsidP="00684AC0">
      <w:pPr>
        <w:jc w:val="both"/>
        <w:rPr>
          <w:rFonts w:ascii="Arial" w:eastAsiaTheme="minorHAnsi" w:hAnsi="Arial" w:cs="Arial"/>
          <w:b/>
          <w:sz w:val="24"/>
          <w:szCs w:val="24"/>
        </w:rPr>
      </w:pPr>
    </w:p>
    <w:p w14:paraId="1A32C86F" w14:textId="517B6049" w:rsidR="00684AC0" w:rsidRPr="008D220A" w:rsidRDefault="00684AC0" w:rsidP="00684AC0">
      <w:pPr>
        <w:spacing w:after="120" w:line="259" w:lineRule="auto"/>
        <w:jc w:val="both"/>
        <w:rPr>
          <w:rFonts w:ascii="Arial" w:eastAsia="Calibri" w:hAnsi="Arial" w:cs="Arial"/>
          <w:sz w:val="24"/>
          <w:szCs w:val="24"/>
          <w:lang w:val="en-US"/>
        </w:rPr>
      </w:pPr>
      <w:r w:rsidRPr="008D220A">
        <w:rPr>
          <w:rFonts w:ascii="Arial" w:hAnsi="Arial" w:cs="Arial"/>
          <w:sz w:val="24"/>
          <w:szCs w:val="24"/>
        </w:rPr>
        <w:t>Th</w:t>
      </w:r>
      <w:r w:rsidR="005201D5" w:rsidRPr="008D220A">
        <w:rPr>
          <w:rFonts w:ascii="Arial" w:hAnsi="Arial" w:cs="Arial"/>
          <w:sz w:val="24"/>
          <w:szCs w:val="24"/>
        </w:rPr>
        <w:t xml:space="preserve">e MTR confirmed the altered and </w:t>
      </w:r>
      <w:r w:rsidR="005201D5" w:rsidRPr="008D220A">
        <w:rPr>
          <w:rFonts w:ascii="Arial" w:eastAsia="Calibri" w:hAnsi="Arial" w:cs="Arial"/>
          <w:sz w:val="24"/>
          <w:szCs w:val="24"/>
          <w:lang w:val="en-US"/>
        </w:rPr>
        <w:t xml:space="preserve">changing environment in which the Project is being implemented (political changes, liquidation of DerzhZem bank, Ministry of </w:t>
      </w:r>
      <w:r w:rsidR="005201D5" w:rsidRPr="008D220A">
        <w:rPr>
          <w:rFonts w:ascii="Arial" w:hAnsi="Arial" w:cs="Arial"/>
          <w:sz w:val="24"/>
          <w:szCs w:val="24"/>
          <w:shd w:val="clear" w:color="auto" w:fill="FFFFFF"/>
          <w:lang w:val="en-US"/>
        </w:rPr>
        <w:t>Agrarian Policy and Food of Ukraine</w:t>
      </w:r>
      <w:r w:rsidR="005201D5" w:rsidRPr="008D220A">
        <w:rPr>
          <w:rFonts w:ascii="Arial" w:eastAsia="Calibri" w:hAnsi="Arial" w:cs="Arial"/>
          <w:sz w:val="24"/>
          <w:szCs w:val="24"/>
          <w:lang w:val="en-US"/>
        </w:rPr>
        <w:t xml:space="preserve"> unable to host a Biomass Support Unit etc.) that caused not only changes of the status of risks but corresponding management responses to mitigate risks; and these management responses should be reflected in the Project Results Framework, which has been recommended to be revised accordingly. </w:t>
      </w:r>
    </w:p>
    <w:p w14:paraId="62CE2D25" w14:textId="30B0237C" w:rsidR="005201D5" w:rsidRPr="008D220A" w:rsidRDefault="008F0131" w:rsidP="008F0131">
      <w:pPr>
        <w:spacing w:after="120" w:line="259" w:lineRule="auto"/>
        <w:jc w:val="both"/>
        <w:rPr>
          <w:rFonts w:ascii="Arial" w:hAnsi="Arial" w:cs="Arial"/>
          <w:sz w:val="24"/>
          <w:szCs w:val="24"/>
        </w:rPr>
      </w:pPr>
      <w:r w:rsidRPr="008D220A">
        <w:rPr>
          <w:rFonts w:ascii="Arial" w:hAnsi="Arial" w:cs="Arial"/>
          <w:sz w:val="24"/>
          <w:szCs w:val="24"/>
        </w:rPr>
        <w:t xml:space="preserve">Other recommendations prompt to intensify the project activities crucial for achieving its development objective to significantly increase the use of biomass energy as a fuel source for heating and hot water services in the municipal sector in Ukraine. </w:t>
      </w:r>
      <w:r w:rsidR="005201D5" w:rsidRPr="008D220A">
        <w:rPr>
          <w:rFonts w:ascii="Arial" w:hAnsi="Arial" w:cs="Arial"/>
          <w:sz w:val="24"/>
          <w:szCs w:val="24"/>
        </w:rPr>
        <w:t xml:space="preserve">Moreover, to ensure sustainability of the project interventions it has been recommended to extend the project duration until the end of 2019. </w:t>
      </w:r>
    </w:p>
    <w:p w14:paraId="0AE43610" w14:textId="77777777" w:rsidR="005201D5" w:rsidRPr="008D220A" w:rsidRDefault="005201D5" w:rsidP="00684AC0">
      <w:pPr>
        <w:rPr>
          <w:rFonts w:asciiTheme="minorHAnsi" w:hAnsiTheme="minorHAnsi" w:cstheme="minorHAnsi"/>
          <w:sz w:val="22"/>
        </w:rPr>
      </w:pPr>
    </w:p>
    <w:p w14:paraId="7046C0E8" w14:textId="5BC222D1" w:rsidR="00684AC0" w:rsidRPr="008D220A" w:rsidRDefault="00684AC0" w:rsidP="008F0131">
      <w:pPr>
        <w:jc w:val="both"/>
        <w:rPr>
          <w:rFonts w:ascii="Arial" w:hAnsi="Arial" w:cs="Arial"/>
          <w:sz w:val="24"/>
          <w:szCs w:val="24"/>
        </w:rPr>
      </w:pPr>
      <w:r w:rsidRPr="008D220A">
        <w:rPr>
          <w:rFonts w:ascii="Arial" w:hAnsi="Arial" w:cs="Arial"/>
          <w:sz w:val="24"/>
          <w:szCs w:val="24"/>
        </w:rPr>
        <w:t xml:space="preserve">Almost all recommendations have been duly addressed within </w:t>
      </w:r>
      <w:r w:rsidR="008F0131" w:rsidRPr="008D220A">
        <w:rPr>
          <w:rFonts w:ascii="Arial" w:hAnsi="Arial" w:cs="Arial"/>
          <w:sz w:val="24"/>
          <w:szCs w:val="24"/>
        </w:rPr>
        <w:t xml:space="preserve">the </w:t>
      </w:r>
      <w:r w:rsidRPr="008D220A">
        <w:rPr>
          <w:rFonts w:ascii="Arial" w:hAnsi="Arial" w:cs="Arial"/>
          <w:sz w:val="24"/>
          <w:szCs w:val="24"/>
        </w:rPr>
        <w:t>first three</w:t>
      </w:r>
      <w:r w:rsidR="008F0131" w:rsidRPr="008D220A">
        <w:rPr>
          <w:rFonts w:ascii="Arial" w:hAnsi="Arial" w:cs="Arial"/>
          <w:sz w:val="24"/>
          <w:szCs w:val="24"/>
        </w:rPr>
        <w:t xml:space="preserve"> </w:t>
      </w:r>
      <w:r w:rsidRPr="008D220A">
        <w:rPr>
          <w:rFonts w:ascii="Arial" w:hAnsi="Arial" w:cs="Arial"/>
          <w:sz w:val="24"/>
          <w:szCs w:val="24"/>
        </w:rPr>
        <w:t xml:space="preserve">month after the MTR completion, in particular: </w:t>
      </w:r>
    </w:p>
    <w:p w14:paraId="65636576" w14:textId="64E14BC4" w:rsidR="00684AC0" w:rsidRPr="008D220A" w:rsidRDefault="00684AC0" w:rsidP="008F0131">
      <w:pPr>
        <w:jc w:val="both"/>
        <w:rPr>
          <w:rFonts w:ascii="Arial" w:hAnsi="Arial" w:cs="Arial"/>
          <w:sz w:val="24"/>
          <w:szCs w:val="24"/>
        </w:rPr>
      </w:pPr>
      <w:r w:rsidRPr="008D220A">
        <w:rPr>
          <w:rFonts w:ascii="Arial" w:hAnsi="Arial" w:cs="Arial"/>
          <w:sz w:val="24"/>
          <w:szCs w:val="24"/>
        </w:rPr>
        <w:t xml:space="preserve">- Project results framework has been revised (according to the MTR recommendation </w:t>
      </w:r>
      <w:r w:rsidR="008F0131" w:rsidRPr="008D220A">
        <w:rPr>
          <w:rFonts w:ascii="Arial" w:hAnsi="Arial" w:cs="Arial"/>
          <w:sz w:val="24"/>
          <w:szCs w:val="24"/>
        </w:rPr>
        <w:t>#1</w:t>
      </w:r>
      <w:r w:rsidRPr="008D220A">
        <w:rPr>
          <w:rFonts w:ascii="Arial" w:hAnsi="Arial" w:cs="Arial"/>
          <w:sz w:val="24"/>
          <w:szCs w:val="24"/>
        </w:rPr>
        <w:t xml:space="preserve">0) and a request for the non-cost extension of the project for 18 months (the MTR recommendation </w:t>
      </w:r>
      <w:r w:rsidR="008F0131" w:rsidRPr="008D220A">
        <w:rPr>
          <w:rFonts w:ascii="Arial" w:hAnsi="Arial" w:cs="Arial"/>
          <w:sz w:val="24"/>
          <w:szCs w:val="24"/>
        </w:rPr>
        <w:t>#</w:t>
      </w:r>
      <w:r w:rsidRPr="008D220A">
        <w:rPr>
          <w:rFonts w:ascii="Arial" w:hAnsi="Arial" w:cs="Arial"/>
          <w:sz w:val="24"/>
          <w:szCs w:val="24"/>
        </w:rPr>
        <w:t xml:space="preserve">6) has been submitted </w:t>
      </w:r>
      <w:r w:rsidR="008F0131" w:rsidRPr="008D220A">
        <w:rPr>
          <w:rFonts w:ascii="Arial" w:hAnsi="Arial" w:cs="Arial"/>
          <w:sz w:val="24"/>
          <w:szCs w:val="24"/>
        </w:rPr>
        <w:t xml:space="preserve">in August 2017 </w:t>
      </w:r>
      <w:r w:rsidRPr="008D220A">
        <w:rPr>
          <w:rFonts w:ascii="Arial" w:hAnsi="Arial" w:cs="Arial"/>
          <w:sz w:val="24"/>
          <w:szCs w:val="24"/>
        </w:rPr>
        <w:t>to UNDP-GEF HQ</w:t>
      </w:r>
      <w:r w:rsidR="008F0131" w:rsidRPr="008D220A">
        <w:rPr>
          <w:rFonts w:ascii="Arial" w:hAnsi="Arial" w:cs="Arial"/>
          <w:sz w:val="24"/>
          <w:szCs w:val="24"/>
        </w:rPr>
        <w:t>;</w:t>
      </w:r>
    </w:p>
    <w:p w14:paraId="31385056" w14:textId="3FA4A70F" w:rsidR="00684AC0" w:rsidRPr="008D220A" w:rsidRDefault="00684AC0" w:rsidP="008F0131">
      <w:pPr>
        <w:jc w:val="both"/>
        <w:rPr>
          <w:rFonts w:ascii="Arial" w:hAnsi="Arial" w:cs="Arial"/>
          <w:sz w:val="24"/>
          <w:szCs w:val="24"/>
        </w:rPr>
      </w:pPr>
      <w:r w:rsidRPr="008D220A">
        <w:rPr>
          <w:rFonts w:ascii="Arial" w:hAnsi="Arial" w:cs="Arial"/>
          <w:sz w:val="24"/>
          <w:szCs w:val="24"/>
        </w:rPr>
        <w:t xml:space="preserve">- Under the Outcome 1, the work has continued with the State Agency on Energy Efficiency and Energy Saving of Ukraine and the Ministry of Ecology and Natural Resources of Ukraine and other stakeholders to develop the National Strategic document on the use of biomass (the MTR recommendation </w:t>
      </w:r>
      <w:r w:rsidR="008F0131" w:rsidRPr="008D220A">
        <w:rPr>
          <w:rFonts w:ascii="Arial" w:hAnsi="Arial" w:cs="Arial"/>
          <w:sz w:val="24"/>
          <w:szCs w:val="24"/>
        </w:rPr>
        <w:t>#</w:t>
      </w:r>
      <w:r w:rsidRPr="008D220A">
        <w:rPr>
          <w:rFonts w:ascii="Arial" w:hAnsi="Arial" w:cs="Arial"/>
          <w:sz w:val="24"/>
          <w:szCs w:val="24"/>
        </w:rPr>
        <w:t xml:space="preserve">9 and </w:t>
      </w:r>
      <w:r w:rsidR="008F0131" w:rsidRPr="008D220A">
        <w:rPr>
          <w:rFonts w:ascii="Arial" w:hAnsi="Arial" w:cs="Arial"/>
          <w:sz w:val="24"/>
          <w:szCs w:val="24"/>
        </w:rPr>
        <w:t>#</w:t>
      </w:r>
      <w:r w:rsidRPr="008D220A">
        <w:rPr>
          <w:rFonts w:ascii="Arial" w:hAnsi="Arial" w:cs="Arial"/>
          <w:sz w:val="24"/>
          <w:szCs w:val="24"/>
        </w:rPr>
        <w:t>2)</w:t>
      </w:r>
      <w:r w:rsidR="008F0131" w:rsidRPr="008D220A">
        <w:rPr>
          <w:rFonts w:ascii="Arial" w:hAnsi="Arial" w:cs="Arial"/>
          <w:sz w:val="24"/>
          <w:szCs w:val="24"/>
        </w:rPr>
        <w:t>;</w:t>
      </w:r>
    </w:p>
    <w:p w14:paraId="586EBF5E" w14:textId="4F578B7C" w:rsidR="00684AC0" w:rsidRPr="008D220A" w:rsidRDefault="00684AC0" w:rsidP="008F0131">
      <w:pPr>
        <w:jc w:val="both"/>
        <w:rPr>
          <w:rFonts w:ascii="Arial" w:hAnsi="Arial" w:cs="Arial"/>
          <w:sz w:val="24"/>
          <w:szCs w:val="24"/>
        </w:rPr>
      </w:pPr>
      <w:r w:rsidRPr="008D220A">
        <w:rPr>
          <w:rFonts w:ascii="Arial" w:hAnsi="Arial" w:cs="Arial"/>
          <w:sz w:val="24"/>
          <w:szCs w:val="24"/>
        </w:rPr>
        <w:t xml:space="preserve">- Under the Outcome 2, the project has started work on the development of a relevant methodology of GHG reduction calculation resulted from fossil fuels substitution by biomass (the MTR recommendation </w:t>
      </w:r>
      <w:r w:rsidR="008F0131" w:rsidRPr="008D220A">
        <w:rPr>
          <w:rFonts w:ascii="Arial" w:hAnsi="Arial" w:cs="Arial"/>
          <w:sz w:val="24"/>
          <w:szCs w:val="24"/>
        </w:rPr>
        <w:t>#</w:t>
      </w:r>
      <w:r w:rsidRPr="008D220A">
        <w:rPr>
          <w:rFonts w:ascii="Arial" w:hAnsi="Arial" w:cs="Arial"/>
          <w:sz w:val="24"/>
          <w:szCs w:val="24"/>
        </w:rPr>
        <w:t>8)</w:t>
      </w:r>
      <w:r w:rsidR="008F0131" w:rsidRPr="008D220A">
        <w:rPr>
          <w:rFonts w:ascii="Arial" w:hAnsi="Arial" w:cs="Arial"/>
          <w:sz w:val="24"/>
          <w:szCs w:val="24"/>
        </w:rPr>
        <w:t>;</w:t>
      </w:r>
    </w:p>
    <w:p w14:paraId="2BB067F8" w14:textId="11B3852A" w:rsidR="00684AC0" w:rsidRPr="008D220A" w:rsidRDefault="00684AC0" w:rsidP="008F0131">
      <w:pPr>
        <w:jc w:val="both"/>
        <w:rPr>
          <w:rFonts w:ascii="Arial" w:hAnsi="Arial" w:cs="Arial"/>
          <w:sz w:val="24"/>
          <w:szCs w:val="24"/>
        </w:rPr>
      </w:pPr>
      <w:r w:rsidRPr="008D220A">
        <w:rPr>
          <w:rFonts w:ascii="Arial" w:hAnsi="Arial" w:cs="Arial"/>
          <w:sz w:val="24"/>
          <w:szCs w:val="24"/>
        </w:rPr>
        <w:t xml:space="preserve">- Under the Outcome 3, assistance </w:t>
      </w:r>
      <w:r w:rsidR="008F0131" w:rsidRPr="008D220A">
        <w:rPr>
          <w:rFonts w:ascii="Arial" w:hAnsi="Arial" w:cs="Arial"/>
          <w:sz w:val="24"/>
          <w:szCs w:val="24"/>
        </w:rPr>
        <w:t>has been</w:t>
      </w:r>
      <w:r w:rsidRPr="008D220A">
        <w:rPr>
          <w:rFonts w:ascii="Arial" w:hAnsi="Arial" w:cs="Arial"/>
          <w:sz w:val="24"/>
          <w:szCs w:val="24"/>
        </w:rPr>
        <w:t xml:space="preserve"> being provided and further planned to operationalize and implement the Financial Support Mechanism (the MTR recommendation </w:t>
      </w:r>
      <w:r w:rsidR="008F0131" w:rsidRPr="008D220A">
        <w:rPr>
          <w:rFonts w:ascii="Arial" w:hAnsi="Arial" w:cs="Arial"/>
          <w:sz w:val="24"/>
          <w:szCs w:val="24"/>
        </w:rPr>
        <w:t>#</w:t>
      </w:r>
      <w:r w:rsidRPr="008D220A">
        <w:rPr>
          <w:rFonts w:ascii="Arial" w:hAnsi="Arial" w:cs="Arial"/>
          <w:sz w:val="24"/>
          <w:szCs w:val="24"/>
        </w:rPr>
        <w:t>1)</w:t>
      </w:r>
      <w:r w:rsidR="008F0131" w:rsidRPr="008D220A">
        <w:rPr>
          <w:rFonts w:ascii="Arial" w:hAnsi="Arial" w:cs="Arial"/>
          <w:sz w:val="24"/>
          <w:szCs w:val="24"/>
        </w:rPr>
        <w:t>;</w:t>
      </w:r>
    </w:p>
    <w:p w14:paraId="2991615F" w14:textId="0189B5B5" w:rsidR="00684AC0" w:rsidRPr="008D220A" w:rsidRDefault="00684AC0" w:rsidP="008F0131">
      <w:pPr>
        <w:jc w:val="both"/>
        <w:rPr>
          <w:rFonts w:ascii="Arial" w:hAnsi="Arial" w:cs="Arial"/>
          <w:sz w:val="24"/>
          <w:szCs w:val="24"/>
        </w:rPr>
      </w:pPr>
      <w:r w:rsidRPr="008D220A">
        <w:rPr>
          <w:rFonts w:ascii="Arial" w:hAnsi="Arial" w:cs="Arial"/>
          <w:sz w:val="24"/>
          <w:szCs w:val="24"/>
        </w:rPr>
        <w:t xml:space="preserve">- Under the Outcomes 3 and 4 the marketing and outreach </w:t>
      </w:r>
      <w:r w:rsidR="008F0131" w:rsidRPr="008D220A">
        <w:rPr>
          <w:rFonts w:ascii="Arial" w:hAnsi="Arial" w:cs="Arial"/>
          <w:sz w:val="24"/>
          <w:szCs w:val="24"/>
        </w:rPr>
        <w:t>has</w:t>
      </w:r>
      <w:r w:rsidRPr="008D220A">
        <w:rPr>
          <w:rFonts w:ascii="Arial" w:hAnsi="Arial" w:cs="Arial"/>
          <w:sz w:val="24"/>
          <w:szCs w:val="24"/>
        </w:rPr>
        <w:t xml:space="preserve"> be</w:t>
      </w:r>
      <w:r w:rsidR="008F0131" w:rsidRPr="008D220A">
        <w:rPr>
          <w:rFonts w:ascii="Arial" w:hAnsi="Arial" w:cs="Arial"/>
          <w:sz w:val="24"/>
          <w:szCs w:val="24"/>
        </w:rPr>
        <w:t>en</w:t>
      </w:r>
      <w:r w:rsidRPr="008D220A">
        <w:rPr>
          <w:rFonts w:ascii="Arial" w:hAnsi="Arial" w:cs="Arial"/>
          <w:sz w:val="24"/>
          <w:szCs w:val="24"/>
        </w:rPr>
        <w:t xml:space="preserve"> intensified (the MTR recommendation </w:t>
      </w:r>
      <w:r w:rsidR="008F0131" w:rsidRPr="008D220A">
        <w:rPr>
          <w:rFonts w:ascii="Arial" w:hAnsi="Arial" w:cs="Arial"/>
          <w:sz w:val="24"/>
          <w:szCs w:val="24"/>
        </w:rPr>
        <w:t>#</w:t>
      </w:r>
      <w:r w:rsidRPr="008D220A">
        <w:rPr>
          <w:rFonts w:ascii="Arial" w:hAnsi="Arial" w:cs="Arial"/>
          <w:sz w:val="24"/>
          <w:szCs w:val="24"/>
        </w:rPr>
        <w:t xml:space="preserve">4) with </w:t>
      </w:r>
      <w:r w:rsidR="008F0131" w:rsidRPr="008D220A">
        <w:rPr>
          <w:rFonts w:ascii="Arial" w:hAnsi="Arial" w:cs="Arial"/>
          <w:sz w:val="24"/>
          <w:szCs w:val="24"/>
        </w:rPr>
        <w:t>Awareness and C</w:t>
      </w:r>
      <w:r w:rsidRPr="008D220A">
        <w:rPr>
          <w:rFonts w:ascii="Arial" w:hAnsi="Arial" w:cs="Arial"/>
          <w:sz w:val="24"/>
          <w:szCs w:val="24"/>
        </w:rPr>
        <w:t xml:space="preserve">apacity </w:t>
      </w:r>
      <w:r w:rsidR="008F0131" w:rsidRPr="008D220A">
        <w:rPr>
          <w:rFonts w:ascii="Arial" w:hAnsi="Arial" w:cs="Arial"/>
          <w:sz w:val="24"/>
          <w:szCs w:val="24"/>
        </w:rPr>
        <w:t>B</w:t>
      </w:r>
      <w:r w:rsidRPr="008D220A">
        <w:rPr>
          <w:rFonts w:ascii="Arial" w:hAnsi="Arial" w:cs="Arial"/>
          <w:sz w:val="24"/>
          <w:szCs w:val="24"/>
        </w:rPr>
        <w:t xml:space="preserve">uilding </w:t>
      </w:r>
      <w:r w:rsidR="008F0131" w:rsidRPr="008D220A">
        <w:rPr>
          <w:rFonts w:ascii="Arial" w:hAnsi="Arial" w:cs="Arial"/>
          <w:sz w:val="24"/>
          <w:szCs w:val="24"/>
        </w:rPr>
        <w:t>Training C</w:t>
      </w:r>
      <w:r w:rsidRPr="008D220A">
        <w:rPr>
          <w:rFonts w:ascii="Arial" w:hAnsi="Arial" w:cs="Arial"/>
          <w:sz w:val="24"/>
          <w:szCs w:val="24"/>
        </w:rPr>
        <w:t xml:space="preserve">ampaign. </w:t>
      </w:r>
    </w:p>
    <w:p w14:paraId="39059F46" w14:textId="7F2B3AB7" w:rsidR="002209D3" w:rsidRPr="008D220A" w:rsidRDefault="002209D3" w:rsidP="006D215B"/>
    <w:p w14:paraId="27BC04B1" w14:textId="77777777" w:rsidR="001A01F1" w:rsidRPr="008D220A" w:rsidRDefault="00174005" w:rsidP="0059548B">
      <w:pPr>
        <w:pStyle w:val="1"/>
        <w:rPr>
          <w:sz w:val="28"/>
          <w:szCs w:val="28"/>
          <w:lang w:val="en-US"/>
        </w:rPr>
      </w:pPr>
      <w:bookmarkStart w:id="18" w:name="_Toc376123025"/>
      <w:bookmarkStart w:id="19" w:name="_Toc154300545"/>
      <w:r w:rsidRPr="008D220A">
        <w:rPr>
          <w:lang w:val="en-US"/>
        </w:rPr>
        <w:t xml:space="preserve">III. </w:t>
      </w:r>
      <w:r w:rsidRPr="008D220A">
        <w:rPr>
          <w:sz w:val="28"/>
          <w:szCs w:val="28"/>
          <w:lang w:val="en-US"/>
        </w:rPr>
        <w:t>Progress Review</w:t>
      </w:r>
      <w:bookmarkEnd w:id="18"/>
      <w:r w:rsidRPr="008D220A">
        <w:rPr>
          <w:sz w:val="28"/>
          <w:szCs w:val="28"/>
          <w:lang w:val="en-US"/>
        </w:rPr>
        <w:t xml:space="preserve"> </w:t>
      </w:r>
      <w:bookmarkEnd w:id="19"/>
    </w:p>
    <w:p w14:paraId="730CBFFB" w14:textId="77777777" w:rsidR="001A01F1" w:rsidRPr="008D220A" w:rsidRDefault="00546238" w:rsidP="00B42BB1">
      <w:pPr>
        <w:pStyle w:val="2"/>
        <w:jc w:val="both"/>
        <w:rPr>
          <w:lang w:val="en-US"/>
        </w:rPr>
      </w:pPr>
      <w:bookmarkStart w:id="20" w:name="_Toc154300546"/>
      <w:bookmarkStart w:id="21" w:name="_Toc376123026"/>
      <w:r w:rsidRPr="008D220A">
        <w:rPr>
          <w:lang w:val="en-US"/>
        </w:rPr>
        <w:t>3</w:t>
      </w:r>
      <w:r w:rsidR="00896185" w:rsidRPr="008D220A">
        <w:rPr>
          <w:lang w:val="en-US"/>
        </w:rPr>
        <w:t xml:space="preserve">.1. </w:t>
      </w:r>
      <w:bookmarkEnd w:id="20"/>
      <w:r w:rsidR="00814E0D" w:rsidRPr="008D220A">
        <w:rPr>
          <w:lang w:val="en-US"/>
        </w:rPr>
        <w:t>F</w:t>
      </w:r>
      <w:r w:rsidR="00814E0D" w:rsidRPr="008D220A">
        <w:rPr>
          <w:shd w:val="clear" w:color="auto" w:fill="FFFFFF"/>
          <w:lang w:val="en-US"/>
        </w:rPr>
        <w:t>ormulating a streamlined and comprehensive market-oriented policy and legal/regulatory framework to promote municipal biomass for heat and hot water services</w:t>
      </w:r>
      <w:bookmarkEnd w:id="21"/>
      <w:r w:rsidR="00814E0D" w:rsidRPr="008D220A">
        <w:rPr>
          <w:shd w:val="clear" w:color="auto" w:fill="FFFFFF"/>
          <w:lang w:val="en-US"/>
        </w:rPr>
        <w:t xml:space="preserve"> </w:t>
      </w:r>
    </w:p>
    <w:p w14:paraId="4B2DFD8A" w14:textId="77777777" w:rsidR="00556B34" w:rsidRPr="008D220A" w:rsidRDefault="00556B34" w:rsidP="00853FF6">
      <w:pPr>
        <w:rPr>
          <w:rFonts w:ascii="Arial" w:hAnsi="Arial" w:cs="Arial"/>
          <w:b/>
          <w:sz w:val="24"/>
          <w:szCs w:val="24"/>
          <w:lang w:val="en-US"/>
        </w:rPr>
      </w:pPr>
    </w:p>
    <w:p w14:paraId="3E646CA0" w14:textId="2D8AD83F" w:rsidR="00B56CC9" w:rsidRPr="008D220A" w:rsidRDefault="00B56CC9" w:rsidP="00B56CC9">
      <w:pPr>
        <w:pStyle w:val="af9"/>
        <w:jc w:val="both"/>
        <w:rPr>
          <w:rFonts w:ascii="Arial" w:hAnsi="Arial" w:cs="Arial"/>
          <w:b/>
          <w:sz w:val="24"/>
          <w:szCs w:val="24"/>
          <w:shd w:val="clear" w:color="auto" w:fill="FFFFFF"/>
        </w:rPr>
      </w:pPr>
      <w:r w:rsidRPr="008D220A">
        <w:rPr>
          <w:rFonts w:ascii="Arial" w:hAnsi="Arial" w:cs="Arial"/>
          <w:b/>
          <w:sz w:val="24"/>
          <w:szCs w:val="24"/>
        </w:rPr>
        <w:t xml:space="preserve">Promoting changes and amendments to the </w:t>
      </w:r>
      <w:r w:rsidRPr="008D220A">
        <w:rPr>
          <w:rFonts w:ascii="Arial" w:hAnsi="Arial" w:cs="Arial"/>
          <w:b/>
          <w:sz w:val="24"/>
          <w:szCs w:val="24"/>
          <w:shd w:val="clear" w:color="auto" w:fill="FFFFFF"/>
        </w:rPr>
        <w:t>Ukrainian legislation and regulation in force to facilitate biomass use in the municipal heat and hot water supply.</w:t>
      </w:r>
    </w:p>
    <w:p w14:paraId="2DA819A2" w14:textId="77777777" w:rsidR="00B56CC9" w:rsidRPr="008D220A" w:rsidRDefault="00B56CC9" w:rsidP="00186E3E">
      <w:pPr>
        <w:pStyle w:val="af9"/>
        <w:jc w:val="both"/>
        <w:rPr>
          <w:rFonts w:ascii="Arial" w:hAnsi="Arial" w:cs="Arial"/>
          <w:b/>
          <w:sz w:val="24"/>
          <w:szCs w:val="24"/>
        </w:rPr>
      </w:pPr>
    </w:p>
    <w:p w14:paraId="3AC54A2A" w14:textId="12415610" w:rsidR="00EB69B2" w:rsidRPr="008D220A" w:rsidRDefault="00EB69B2" w:rsidP="00EB69B2">
      <w:pPr>
        <w:tabs>
          <w:tab w:val="left" w:pos="0"/>
        </w:tabs>
        <w:jc w:val="both"/>
        <w:rPr>
          <w:rFonts w:ascii="Arial" w:hAnsi="Arial" w:cs="Arial"/>
          <w:sz w:val="24"/>
          <w:szCs w:val="24"/>
        </w:rPr>
      </w:pPr>
      <w:r w:rsidRPr="008D220A">
        <w:rPr>
          <w:rFonts w:ascii="Arial" w:hAnsi="Arial" w:cs="Arial"/>
          <w:sz w:val="24"/>
          <w:szCs w:val="24"/>
          <w:lang w:val="en-US"/>
        </w:rPr>
        <w:t xml:space="preserve">UNDP helped </w:t>
      </w:r>
      <w:r w:rsidRPr="008D220A">
        <w:rPr>
          <w:rFonts w:ascii="Arial" w:hAnsi="Arial" w:cs="Arial"/>
          <w:sz w:val="24"/>
          <w:szCs w:val="24"/>
          <w:u w:val="single"/>
          <w:lang w:val="en-US"/>
        </w:rPr>
        <w:t>partially</w:t>
      </w:r>
      <w:r w:rsidRPr="008D220A">
        <w:rPr>
          <w:rFonts w:ascii="Arial" w:hAnsi="Arial" w:cs="Arial"/>
          <w:sz w:val="24"/>
          <w:szCs w:val="24"/>
          <w:lang w:val="en-US"/>
        </w:rPr>
        <w:t xml:space="preserve"> improve regulatory and policy framework for bioenergy that </w:t>
      </w:r>
      <w:r w:rsidRPr="008D220A">
        <w:rPr>
          <w:rFonts w:ascii="Arial" w:hAnsi="Arial" w:cs="Arial"/>
          <w:sz w:val="24"/>
          <w:szCs w:val="24"/>
        </w:rPr>
        <w:t>is finally considered a practical and often the most feasible option (especially when combined with a t</w:t>
      </w:r>
      <w:r w:rsidR="0066408E" w:rsidRPr="008D220A">
        <w:rPr>
          <w:rFonts w:ascii="Arial" w:hAnsi="Arial" w:cs="Arial"/>
          <w:sz w:val="24"/>
          <w:szCs w:val="24"/>
        </w:rPr>
        <w:t>h</w:t>
      </w:r>
      <w:r w:rsidRPr="008D220A">
        <w:rPr>
          <w:rFonts w:ascii="Arial" w:hAnsi="Arial" w:cs="Arial"/>
          <w:sz w:val="24"/>
          <w:szCs w:val="24"/>
        </w:rPr>
        <w:t>ermo</w:t>
      </w:r>
      <w:r w:rsidR="00A7693A" w:rsidRPr="008D220A">
        <w:rPr>
          <w:rFonts w:ascii="Arial" w:hAnsi="Arial" w:cs="Arial"/>
          <w:sz w:val="24"/>
          <w:szCs w:val="24"/>
        </w:rPr>
        <w:t>-</w:t>
      </w:r>
      <w:r w:rsidRPr="008D220A">
        <w:rPr>
          <w:rFonts w:ascii="Arial" w:hAnsi="Arial" w:cs="Arial"/>
          <w:sz w:val="24"/>
          <w:szCs w:val="24"/>
        </w:rPr>
        <w:t xml:space="preserve">modernization of buildings) to replace fossil fuels in providing heating for municipal buildings in Ukraine. </w:t>
      </w:r>
    </w:p>
    <w:p w14:paraId="6CEEBE60" w14:textId="77777777" w:rsidR="00814B09" w:rsidRPr="008D220A" w:rsidRDefault="00814B09" w:rsidP="00EB69B2">
      <w:pPr>
        <w:tabs>
          <w:tab w:val="left" w:pos="0"/>
        </w:tabs>
        <w:jc w:val="both"/>
        <w:rPr>
          <w:rFonts w:ascii="Arial" w:hAnsi="Arial" w:cs="Arial"/>
          <w:sz w:val="24"/>
          <w:szCs w:val="24"/>
        </w:rPr>
      </w:pPr>
    </w:p>
    <w:p w14:paraId="3DBB02E7" w14:textId="77777777" w:rsidR="00EB69B2" w:rsidRPr="008D220A" w:rsidRDefault="00EB69B2" w:rsidP="00EB69B2">
      <w:pPr>
        <w:tabs>
          <w:tab w:val="left" w:pos="0"/>
        </w:tabs>
        <w:jc w:val="both"/>
        <w:rPr>
          <w:rFonts w:ascii="Arial" w:hAnsi="Arial" w:cs="Arial"/>
          <w:sz w:val="24"/>
          <w:szCs w:val="24"/>
        </w:rPr>
      </w:pPr>
      <w:r w:rsidRPr="008D220A">
        <w:rPr>
          <w:rFonts w:ascii="Arial" w:hAnsi="Arial" w:cs="Arial"/>
          <w:sz w:val="24"/>
          <w:szCs w:val="24"/>
        </w:rPr>
        <w:t xml:space="preserve">4 out of 6 important pieces of legislation prepared based on UNDP experts recommendations have been adopted in 2017 providing </w:t>
      </w:r>
      <w:r w:rsidRPr="008D220A">
        <w:rPr>
          <w:rFonts w:ascii="Arial" w:hAnsi="Arial" w:cs="Arial"/>
          <w:sz w:val="24"/>
          <w:szCs w:val="24"/>
          <w:lang w:val="en-US"/>
        </w:rPr>
        <w:t>regulatory instruments to stimulate increased use of and investment in bioenergy</w:t>
      </w:r>
      <w:r w:rsidRPr="008D220A">
        <w:rPr>
          <w:rFonts w:ascii="Arial" w:hAnsi="Arial" w:cs="Arial"/>
          <w:b/>
          <w:sz w:val="24"/>
          <w:szCs w:val="24"/>
          <w:lang w:val="en-US"/>
        </w:rPr>
        <w:t xml:space="preserve">. </w:t>
      </w:r>
    </w:p>
    <w:p w14:paraId="32574077" w14:textId="77777777" w:rsidR="00EB69B2" w:rsidRPr="008D220A" w:rsidRDefault="00EB69B2" w:rsidP="00EB69B2">
      <w:pPr>
        <w:tabs>
          <w:tab w:val="left" w:pos="0"/>
        </w:tabs>
        <w:contextualSpacing/>
        <w:jc w:val="both"/>
        <w:rPr>
          <w:rFonts w:ascii="Arial" w:hAnsi="Arial" w:cs="Arial"/>
          <w:sz w:val="24"/>
          <w:szCs w:val="24"/>
          <w:lang w:val="en-US"/>
        </w:rPr>
      </w:pPr>
    </w:p>
    <w:p w14:paraId="5850E0E8" w14:textId="77777777" w:rsidR="00EB69B2" w:rsidRPr="008D220A" w:rsidRDefault="00EB69B2" w:rsidP="008C1067">
      <w:pPr>
        <w:tabs>
          <w:tab w:val="left" w:pos="0"/>
        </w:tabs>
        <w:jc w:val="both"/>
        <w:rPr>
          <w:rFonts w:ascii="Arial" w:hAnsi="Arial" w:cs="Arial"/>
          <w:sz w:val="24"/>
          <w:szCs w:val="24"/>
        </w:rPr>
      </w:pPr>
      <w:r w:rsidRPr="008D220A">
        <w:rPr>
          <w:rFonts w:ascii="Arial" w:hAnsi="Arial" w:cs="Arial"/>
          <w:sz w:val="24"/>
          <w:szCs w:val="24"/>
        </w:rPr>
        <w:t>In particular, the following laws have been adopted in line with the drafts and suggestion provided by the UNDP-GEF Project experts:</w:t>
      </w:r>
    </w:p>
    <w:p w14:paraId="156D0722" w14:textId="77777777" w:rsidR="004F3C5D" w:rsidRPr="008D220A" w:rsidRDefault="004F3C5D" w:rsidP="008C1067">
      <w:pPr>
        <w:tabs>
          <w:tab w:val="left" w:pos="0"/>
        </w:tabs>
        <w:jc w:val="both"/>
        <w:rPr>
          <w:rFonts w:ascii="Arial" w:hAnsi="Arial" w:cs="Arial"/>
          <w:sz w:val="24"/>
          <w:szCs w:val="24"/>
        </w:rPr>
      </w:pPr>
    </w:p>
    <w:p w14:paraId="31D10FA8" w14:textId="77777777" w:rsidR="00EB69B2" w:rsidRPr="008D220A" w:rsidRDefault="00EB69B2" w:rsidP="004F3C5D">
      <w:pPr>
        <w:widowControl w:val="0"/>
        <w:tabs>
          <w:tab w:val="left" w:pos="709"/>
        </w:tabs>
        <w:jc w:val="both"/>
        <w:rPr>
          <w:rFonts w:ascii="Arial" w:eastAsiaTheme="majorEastAsia" w:hAnsi="Arial" w:cs="Arial"/>
          <w:bCs/>
          <w:sz w:val="24"/>
          <w:szCs w:val="24"/>
          <w:lang w:val="uk-UA"/>
        </w:rPr>
      </w:pPr>
      <w:r w:rsidRPr="008D220A">
        <w:rPr>
          <w:rFonts w:ascii="Arial" w:hAnsi="Arial" w:cs="Arial"/>
          <w:b/>
          <w:sz w:val="24"/>
          <w:szCs w:val="24"/>
        </w:rPr>
        <w:t>1)</w:t>
      </w:r>
      <w:r w:rsidRPr="008D220A">
        <w:rPr>
          <w:rFonts w:ascii="Arial" w:hAnsi="Arial" w:cs="Arial"/>
          <w:sz w:val="24"/>
          <w:szCs w:val="24"/>
        </w:rPr>
        <w:t xml:space="preserve"> </w:t>
      </w:r>
      <w:r w:rsidRPr="008D220A">
        <w:rPr>
          <w:rFonts w:ascii="Arial" w:hAnsi="Arial" w:cs="Arial"/>
          <w:b/>
          <w:sz w:val="24"/>
          <w:szCs w:val="24"/>
        </w:rPr>
        <w:t>The Law of Ukraine #1959-VIII dated 21.03.2017 “On amendment of the Law of Ukraine “On heat supply” on stimulation of heat energy production from alternative energy sources”</w:t>
      </w:r>
      <w:r w:rsidRPr="008D220A">
        <w:rPr>
          <w:rFonts w:ascii="Arial" w:hAnsi="Arial" w:cs="Arial"/>
          <w:sz w:val="24"/>
          <w:szCs w:val="24"/>
        </w:rPr>
        <w:t xml:space="preserve"> (</w:t>
      </w:r>
      <w:hyperlink r:id="rId20" w:history="1">
        <w:r w:rsidRPr="008D220A">
          <w:rPr>
            <w:rStyle w:val="ab"/>
            <w:rFonts w:eastAsiaTheme="minorHAnsi"/>
            <w:color w:val="auto"/>
            <w:sz w:val="24"/>
            <w:szCs w:val="24"/>
            <w:lang w:val="uk-UA"/>
          </w:rPr>
          <w:t>http://zakon2.rada.gov.ua/laws/show/1959-19</w:t>
        </w:r>
      </w:hyperlink>
      <w:r w:rsidRPr="008D220A">
        <w:rPr>
          <w:rFonts w:ascii="Arial" w:hAnsi="Arial" w:cs="Arial"/>
          <w:sz w:val="24"/>
          <w:szCs w:val="24"/>
        </w:rPr>
        <w:t xml:space="preserve">). </w:t>
      </w:r>
    </w:p>
    <w:p w14:paraId="3C525EAC" w14:textId="77777777" w:rsidR="00EB69B2" w:rsidRPr="008D220A" w:rsidRDefault="00EB69B2" w:rsidP="00AA60F7">
      <w:pPr>
        <w:pStyle w:val="af6"/>
        <w:tabs>
          <w:tab w:val="left" w:pos="0"/>
        </w:tabs>
        <w:spacing w:line="240" w:lineRule="auto"/>
        <w:ind w:left="0"/>
        <w:jc w:val="both"/>
        <w:rPr>
          <w:rFonts w:ascii="Arial" w:hAnsi="Arial" w:cs="Arial"/>
          <w:sz w:val="24"/>
          <w:szCs w:val="24"/>
        </w:rPr>
      </w:pPr>
      <w:r w:rsidRPr="008D220A">
        <w:rPr>
          <w:rFonts w:ascii="Arial" w:hAnsi="Arial" w:cs="Arial"/>
          <w:sz w:val="24"/>
          <w:szCs w:val="24"/>
        </w:rPr>
        <w:t xml:space="preserve">This new version of the Law introduces regulatory instruments that have the potential to significantly increase the attractiveness of investing in renewable heat energy production that, in turn, would help replace expensive imported natural gas with domestic renewable energy sources, mainly biomass. Specifically, the Law </w:t>
      </w:r>
    </w:p>
    <w:p w14:paraId="3F06C0A1" w14:textId="77777777" w:rsidR="00EB69B2" w:rsidRPr="008D220A" w:rsidRDefault="00EB69B2" w:rsidP="006D215B">
      <w:pPr>
        <w:pStyle w:val="af6"/>
        <w:numPr>
          <w:ilvl w:val="0"/>
          <w:numId w:val="9"/>
        </w:numPr>
        <w:pBdr>
          <w:top w:val="nil"/>
          <w:left w:val="nil"/>
          <w:bottom w:val="nil"/>
          <w:right w:val="nil"/>
          <w:between w:val="nil"/>
        </w:pBdr>
        <w:spacing w:after="0" w:line="240" w:lineRule="auto"/>
        <w:ind w:left="284" w:hanging="142"/>
        <w:jc w:val="both"/>
        <w:rPr>
          <w:rFonts w:ascii="Arial" w:hAnsi="Arial" w:cs="Arial"/>
          <w:sz w:val="24"/>
          <w:szCs w:val="24"/>
        </w:rPr>
      </w:pPr>
      <w:r w:rsidRPr="008D220A">
        <w:rPr>
          <w:rFonts w:ascii="Arial" w:hAnsi="Arial" w:cs="Arial"/>
          <w:sz w:val="24"/>
          <w:szCs w:val="24"/>
        </w:rPr>
        <w:t xml:space="preserve">provides for additional authority to the local self-government bodies (municipalities and administrations) to license heat energy production and set tariffs for heat energy produced from alternative energy sources used by population and budgetary institutions (thus withdrawing this authority from the National Energy and Utilities Regulatory Commission and supporting decentralization); </w:t>
      </w:r>
    </w:p>
    <w:p w14:paraId="0118B9A8" w14:textId="77777777" w:rsidR="00EB69B2" w:rsidRPr="008D220A" w:rsidRDefault="00EB69B2" w:rsidP="006D215B">
      <w:pPr>
        <w:pStyle w:val="af6"/>
        <w:numPr>
          <w:ilvl w:val="0"/>
          <w:numId w:val="9"/>
        </w:numPr>
        <w:pBdr>
          <w:top w:val="nil"/>
          <w:left w:val="nil"/>
          <w:bottom w:val="nil"/>
          <w:right w:val="nil"/>
          <w:between w:val="nil"/>
        </w:pBdr>
        <w:spacing w:after="0" w:line="240" w:lineRule="auto"/>
        <w:ind w:left="284" w:hanging="142"/>
        <w:jc w:val="both"/>
        <w:rPr>
          <w:rFonts w:ascii="Arial" w:hAnsi="Arial" w:cs="Arial"/>
          <w:sz w:val="24"/>
          <w:szCs w:val="24"/>
        </w:rPr>
      </w:pPr>
      <w:r w:rsidRPr="008D220A">
        <w:rPr>
          <w:rFonts w:ascii="Arial" w:hAnsi="Arial" w:cs="Arial"/>
          <w:sz w:val="24"/>
          <w:szCs w:val="24"/>
        </w:rPr>
        <w:lastRenderedPageBreak/>
        <w:t>ensures that tariffs for heat energy produced from alternative energy sources are fixed at the level of 90% of the existing tariffs for heat produced from natural gas for the abovementioned categories of customers;</w:t>
      </w:r>
    </w:p>
    <w:p w14:paraId="6D2AB196" w14:textId="40050898" w:rsidR="004F3C5D" w:rsidRPr="008D220A" w:rsidRDefault="00EB69B2" w:rsidP="006D215B">
      <w:pPr>
        <w:pStyle w:val="af6"/>
        <w:numPr>
          <w:ilvl w:val="0"/>
          <w:numId w:val="9"/>
        </w:numPr>
        <w:pBdr>
          <w:top w:val="nil"/>
          <w:left w:val="nil"/>
          <w:bottom w:val="nil"/>
          <w:right w:val="nil"/>
          <w:between w:val="nil"/>
        </w:pBdr>
        <w:spacing w:after="0" w:line="240" w:lineRule="auto"/>
        <w:ind w:left="284" w:hanging="142"/>
        <w:jc w:val="both"/>
        <w:rPr>
          <w:rFonts w:ascii="Arial" w:hAnsi="Arial" w:cs="Arial"/>
          <w:sz w:val="24"/>
          <w:szCs w:val="24"/>
        </w:rPr>
      </w:pPr>
      <w:r w:rsidRPr="008D220A">
        <w:rPr>
          <w:rFonts w:ascii="Arial" w:hAnsi="Arial" w:cs="Arial"/>
          <w:sz w:val="24"/>
          <w:szCs w:val="24"/>
        </w:rPr>
        <w:t xml:space="preserve">provides for </w:t>
      </w:r>
      <w:r w:rsidRPr="008D220A">
        <w:rPr>
          <w:rFonts w:ascii="Arial" w:hAnsi="Arial" w:cs="Arial"/>
          <w:sz w:val="24"/>
          <w:szCs w:val="24"/>
          <w:shd w:val="clear" w:color="auto" w:fill="FFFFFF"/>
          <w:lang w:eastAsia="ru-RU"/>
        </w:rPr>
        <w:t>alignment of terminology and the framing of definitions in accordance with the EU energy directives.</w:t>
      </w:r>
    </w:p>
    <w:p w14:paraId="3C0123D0" w14:textId="77777777" w:rsidR="00EB69B2" w:rsidRPr="008D220A" w:rsidRDefault="00EB69B2" w:rsidP="004F3C5D">
      <w:pPr>
        <w:tabs>
          <w:tab w:val="left" w:pos="0"/>
        </w:tabs>
        <w:jc w:val="both"/>
        <w:rPr>
          <w:rFonts w:ascii="Arial" w:hAnsi="Arial" w:cs="Arial"/>
          <w:sz w:val="24"/>
          <w:szCs w:val="24"/>
        </w:rPr>
      </w:pPr>
      <w:r w:rsidRPr="008D220A">
        <w:rPr>
          <w:rFonts w:ascii="Arial" w:hAnsi="Arial" w:cs="Arial"/>
          <w:sz w:val="24"/>
          <w:szCs w:val="24"/>
        </w:rPr>
        <w:t>This creates a competitive environment for producers of heat from alternative energy sources and at the same time reduces the heat tariff for consumers by 10%. The Law was developed in line with Directive No. 2009/28/EC on the promotion of the use of energy from renewable sources and with the National Action Plan for Renewable Energy for the period until 2020.</w:t>
      </w:r>
    </w:p>
    <w:p w14:paraId="0B7B54B3" w14:textId="77777777" w:rsidR="004F3C5D" w:rsidRPr="008D220A" w:rsidRDefault="004F3C5D" w:rsidP="002E7212"/>
    <w:p w14:paraId="12C7B8EC" w14:textId="3BD32D14" w:rsidR="00EB69B2" w:rsidRPr="008D220A" w:rsidRDefault="00EB69B2" w:rsidP="002E7212">
      <w:pPr>
        <w:jc w:val="both"/>
        <w:rPr>
          <w:rFonts w:eastAsiaTheme="minorHAnsi"/>
          <w:bCs/>
          <w:i/>
          <w:lang w:val="uk-UA"/>
        </w:rPr>
      </w:pPr>
      <w:bookmarkStart w:id="22" w:name="_Toc376123027"/>
      <w:r w:rsidRPr="008D220A">
        <w:rPr>
          <w:rFonts w:ascii="Arial" w:hAnsi="Arial" w:cs="Arial"/>
          <w:b/>
          <w:sz w:val="24"/>
          <w:szCs w:val="24"/>
        </w:rPr>
        <w:t>2) The Law of Ukraine #1980-VIII dated 23.03.2017 “On amendment of the Law of Ukraine “On introduction of new investment opportunities, guaranteeing the rights and legitimate interests of business entities for large-scale energy modernization</w:t>
      </w:r>
      <w:r w:rsidRPr="008D220A">
        <w:rPr>
          <w:rFonts w:ascii="Arial" w:hAnsi="Arial" w:cs="Arial"/>
          <w:sz w:val="24"/>
          <w:szCs w:val="24"/>
        </w:rPr>
        <w:t>” enabling functioning of the ESCO market in Ukraine</w:t>
      </w:r>
      <w:r w:rsidR="00D62F1C" w:rsidRPr="008D220A">
        <w:rPr>
          <w:i/>
        </w:rPr>
        <w:t xml:space="preserve"> (</w:t>
      </w:r>
      <w:hyperlink r:id="rId21" w:anchor="n2" w:history="1">
        <w:r w:rsidRPr="008D220A">
          <w:rPr>
            <w:rStyle w:val="ab"/>
            <w:rFonts w:eastAsiaTheme="minorHAnsi"/>
            <w:i/>
            <w:color w:val="auto"/>
            <w:sz w:val="24"/>
            <w:szCs w:val="24"/>
          </w:rPr>
          <w:t>http</w:t>
        </w:r>
        <w:r w:rsidRPr="008D220A">
          <w:rPr>
            <w:rStyle w:val="ab"/>
            <w:rFonts w:eastAsiaTheme="minorHAnsi"/>
            <w:i/>
            <w:color w:val="auto"/>
            <w:sz w:val="24"/>
            <w:szCs w:val="24"/>
            <w:lang w:val="uk-UA"/>
          </w:rPr>
          <w:t>://</w:t>
        </w:r>
        <w:r w:rsidRPr="008D220A">
          <w:rPr>
            <w:rStyle w:val="ab"/>
            <w:rFonts w:eastAsiaTheme="minorHAnsi"/>
            <w:i/>
            <w:color w:val="auto"/>
            <w:sz w:val="24"/>
            <w:szCs w:val="24"/>
          </w:rPr>
          <w:t>zakon</w:t>
        </w:r>
        <w:r w:rsidRPr="008D220A">
          <w:rPr>
            <w:rStyle w:val="ab"/>
            <w:rFonts w:eastAsiaTheme="minorHAnsi"/>
            <w:i/>
            <w:color w:val="auto"/>
            <w:sz w:val="24"/>
            <w:szCs w:val="24"/>
            <w:lang w:val="uk-UA"/>
          </w:rPr>
          <w:t>3.</w:t>
        </w:r>
        <w:r w:rsidRPr="008D220A">
          <w:rPr>
            <w:rStyle w:val="ab"/>
            <w:rFonts w:eastAsiaTheme="minorHAnsi"/>
            <w:i/>
            <w:color w:val="auto"/>
            <w:sz w:val="24"/>
            <w:szCs w:val="24"/>
          </w:rPr>
          <w:t>rada</w:t>
        </w:r>
        <w:r w:rsidRPr="008D220A">
          <w:rPr>
            <w:rStyle w:val="ab"/>
            <w:rFonts w:eastAsiaTheme="minorHAnsi"/>
            <w:i/>
            <w:color w:val="auto"/>
            <w:sz w:val="24"/>
            <w:szCs w:val="24"/>
            <w:lang w:val="uk-UA"/>
          </w:rPr>
          <w:t>.</w:t>
        </w:r>
        <w:r w:rsidRPr="008D220A">
          <w:rPr>
            <w:rStyle w:val="ab"/>
            <w:rFonts w:eastAsiaTheme="minorHAnsi"/>
            <w:i/>
            <w:color w:val="auto"/>
            <w:sz w:val="24"/>
            <w:szCs w:val="24"/>
          </w:rPr>
          <w:t>gov</w:t>
        </w:r>
        <w:r w:rsidRPr="008D220A">
          <w:rPr>
            <w:rStyle w:val="ab"/>
            <w:rFonts w:eastAsiaTheme="minorHAnsi"/>
            <w:i/>
            <w:color w:val="auto"/>
            <w:sz w:val="24"/>
            <w:szCs w:val="24"/>
            <w:lang w:val="uk-UA"/>
          </w:rPr>
          <w:t>.</w:t>
        </w:r>
        <w:r w:rsidRPr="008D220A">
          <w:rPr>
            <w:rStyle w:val="ab"/>
            <w:rFonts w:eastAsiaTheme="minorHAnsi"/>
            <w:i/>
            <w:color w:val="auto"/>
            <w:sz w:val="24"/>
            <w:szCs w:val="24"/>
          </w:rPr>
          <w:t>ua</w:t>
        </w:r>
        <w:r w:rsidRPr="008D220A">
          <w:rPr>
            <w:rStyle w:val="ab"/>
            <w:rFonts w:eastAsiaTheme="minorHAnsi"/>
            <w:i/>
            <w:color w:val="auto"/>
            <w:sz w:val="24"/>
            <w:szCs w:val="24"/>
            <w:lang w:val="uk-UA"/>
          </w:rPr>
          <w:t>/</w:t>
        </w:r>
        <w:r w:rsidRPr="008D220A">
          <w:rPr>
            <w:rStyle w:val="ab"/>
            <w:rFonts w:eastAsiaTheme="minorHAnsi"/>
            <w:i/>
            <w:color w:val="auto"/>
            <w:sz w:val="24"/>
            <w:szCs w:val="24"/>
          </w:rPr>
          <w:t>laws</w:t>
        </w:r>
        <w:r w:rsidRPr="008D220A">
          <w:rPr>
            <w:rStyle w:val="ab"/>
            <w:rFonts w:eastAsiaTheme="minorHAnsi"/>
            <w:i/>
            <w:color w:val="auto"/>
            <w:sz w:val="24"/>
            <w:szCs w:val="24"/>
            <w:lang w:val="uk-UA"/>
          </w:rPr>
          <w:t>/</w:t>
        </w:r>
        <w:r w:rsidRPr="008D220A">
          <w:rPr>
            <w:rStyle w:val="ab"/>
            <w:rFonts w:eastAsiaTheme="minorHAnsi"/>
            <w:i/>
            <w:color w:val="auto"/>
            <w:sz w:val="24"/>
            <w:szCs w:val="24"/>
          </w:rPr>
          <w:t>show</w:t>
        </w:r>
        <w:r w:rsidRPr="008D220A">
          <w:rPr>
            <w:rStyle w:val="ab"/>
            <w:rFonts w:eastAsiaTheme="minorHAnsi"/>
            <w:i/>
            <w:color w:val="auto"/>
            <w:sz w:val="24"/>
            <w:szCs w:val="24"/>
            <w:lang w:val="uk-UA"/>
          </w:rPr>
          <w:t>/1980-19/</w:t>
        </w:r>
        <w:r w:rsidRPr="008D220A">
          <w:rPr>
            <w:rStyle w:val="ab"/>
            <w:rFonts w:eastAsiaTheme="minorHAnsi"/>
            <w:i/>
            <w:color w:val="auto"/>
            <w:sz w:val="24"/>
            <w:szCs w:val="24"/>
          </w:rPr>
          <w:t>paran</w:t>
        </w:r>
        <w:r w:rsidRPr="008D220A">
          <w:rPr>
            <w:rStyle w:val="ab"/>
            <w:rFonts w:eastAsiaTheme="minorHAnsi"/>
            <w:i/>
            <w:color w:val="auto"/>
            <w:sz w:val="24"/>
            <w:szCs w:val="24"/>
            <w:lang w:val="uk-UA"/>
          </w:rPr>
          <w:t>2#</w:t>
        </w:r>
        <w:r w:rsidRPr="008D220A">
          <w:rPr>
            <w:rStyle w:val="ab"/>
            <w:rFonts w:eastAsiaTheme="minorHAnsi"/>
            <w:i/>
            <w:color w:val="auto"/>
            <w:sz w:val="24"/>
            <w:szCs w:val="24"/>
          </w:rPr>
          <w:t>n</w:t>
        </w:r>
        <w:r w:rsidRPr="008D220A">
          <w:rPr>
            <w:rStyle w:val="ab"/>
            <w:rFonts w:eastAsiaTheme="minorHAnsi"/>
            <w:i/>
            <w:color w:val="auto"/>
            <w:sz w:val="24"/>
            <w:szCs w:val="24"/>
            <w:lang w:val="uk-UA"/>
          </w:rPr>
          <w:t>2</w:t>
        </w:r>
      </w:hyperlink>
      <w:r w:rsidR="00D62F1C" w:rsidRPr="008D220A">
        <w:rPr>
          <w:rFonts w:eastAsiaTheme="minorHAnsi"/>
          <w:i/>
          <w:lang w:val="uk-UA"/>
        </w:rPr>
        <w:t>).</w:t>
      </w:r>
      <w:bookmarkEnd w:id="22"/>
      <w:r w:rsidRPr="008D220A">
        <w:rPr>
          <w:rFonts w:eastAsiaTheme="minorHAnsi"/>
          <w:i/>
          <w:lang w:val="uk-UA"/>
        </w:rPr>
        <w:t xml:space="preserve"> </w:t>
      </w:r>
    </w:p>
    <w:p w14:paraId="130DE325" w14:textId="77777777" w:rsidR="00EB69B2" w:rsidRPr="008D220A" w:rsidRDefault="00EB69B2" w:rsidP="00AA60F7">
      <w:pPr>
        <w:pStyle w:val="af6"/>
        <w:tabs>
          <w:tab w:val="left" w:pos="0"/>
        </w:tabs>
        <w:spacing w:line="240" w:lineRule="auto"/>
        <w:ind w:left="0"/>
        <w:jc w:val="both"/>
        <w:rPr>
          <w:rFonts w:ascii="Arial" w:hAnsi="Arial" w:cs="Arial"/>
          <w:sz w:val="24"/>
          <w:szCs w:val="24"/>
        </w:rPr>
      </w:pPr>
      <w:r w:rsidRPr="008D220A">
        <w:rPr>
          <w:rFonts w:ascii="Arial" w:hAnsi="Arial" w:cs="Arial"/>
          <w:sz w:val="24"/>
          <w:szCs w:val="24"/>
        </w:rPr>
        <w:t>This law makes necessary changes that enable a mechanism for purchase of energy service in line with the Law of Ukraine “On public procurement”, and helps enable functioning of the ESCO market in Ukraine and meet the requirements of the Energy Efficiency Directive No. 2012/27/EC The Law includes UNDP recommendations for improving energy service contracts (EPCs) application mechanisms in heat supply sector.</w:t>
      </w:r>
    </w:p>
    <w:p w14:paraId="1C4732A2" w14:textId="77777777" w:rsidR="00333334" w:rsidRPr="008D220A" w:rsidRDefault="00333334" w:rsidP="00AA60F7">
      <w:pPr>
        <w:pStyle w:val="af6"/>
        <w:tabs>
          <w:tab w:val="left" w:pos="0"/>
        </w:tabs>
        <w:spacing w:line="240" w:lineRule="auto"/>
        <w:ind w:left="0"/>
        <w:jc w:val="both"/>
        <w:rPr>
          <w:rFonts w:ascii="Arial" w:hAnsi="Arial" w:cs="Arial"/>
          <w:sz w:val="24"/>
          <w:szCs w:val="24"/>
        </w:rPr>
      </w:pPr>
    </w:p>
    <w:p w14:paraId="16CFB8C4" w14:textId="72D2736D" w:rsidR="00EB69B2" w:rsidRPr="008D220A" w:rsidRDefault="00EB69B2" w:rsidP="00AA60F7">
      <w:pPr>
        <w:pStyle w:val="af6"/>
        <w:widowControl w:val="0"/>
        <w:tabs>
          <w:tab w:val="left" w:pos="0"/>
        </w:tabs>
        <w:spacing w:after="0" w:line="240" w:lineRule="auto"/>
        <w:ind w:left="0"/>
        <w:jc w:val="both"/>
        <w:rPr>
          <w:rFonts w:ascii="Arial" w:hAnsi="Arial" w:cs="Arial"/>
          <w:bCs/>
          <w:sz w:val="24"/>
          <w:szCs w:val="24"/>
          <w:shd w:val="clear" w:color="auto" w:fill="FFFFFF"/>
          <w:lang w:val="uk-UA"/>
        </w:rPr>
      </w:pPr>
      <w:r w:rsidRPr="008D220A">
        <w:rPr>
          <w:rFonts w:ascii="Arial" w:hAnsi="Arial" w:cs="Arial"/>
          <w:b/>
          <w:sz w:val="24"/>
          <w:szCs w:val="24"/>
        </w:rPr>
        <w:t>3)</w:t>
      </w:r>
      <w:r w:rsidRPr="008D220A">
        <w:rPr>
          <w:rFonts w:ascii="Arial" w:hAnsi="Arial" w:cs="Arial"/>
          <w:b/>
          <w:sz w:val="24"/>
          <w:szCs w:val="24"/>
          <w:shd w:val="clear" w:color="auto" w:fill="FFFFFF"/>
          <w:lang w:val="uk-UA"/>
        </w:rPr>
        <w:t xml:space="preserve"> The </w:t>
      </w:r>
      <w:r w:rsidRPr="008D220A">
        <w:rPr>
          <w:rFonts w:ascii="Arial" w:hAnsi="Arial" w:cs="Arial"/>
          <w:b/>
          <w:sz w:val="24"/>
          <w:szCs w:val="24"/>
        </w:rPr>
        <w:t>Law of Ukraine #</w:t>
      </w:r>
      <w:r w:rsidRPr="008D220A">
        <w:rPr>
          <w:rFonts w:ascii="Arial" w:hAnsi="Arial" w:cs="Arial"/>
          <w:b/>
          <w:bCs/>
          <w:sz w:val="24"/>
          <w:szCs w:val="24"/>
          <w:lang w:eastAsia="ru-RU"/>
        </w:rPr>
        <w:t>2119-19 dated 22.06.2017</w:t>
      </w:r>
      <w:r w:rsidRPr="008D220A">
        <w:rPr>
          <w:rFonts w:ascii="Arial" w:hAnsi="Arial" w:cs="Arial"/>
          <w:b/>
          <w:sz w:val="24"/>
          <w:szCs w:val="24"/>
          <w:lang w:eastAsia="ru-RU"/>
        </w:rPr>
        <w:t xml:space="preserve"> </w:t>
      </w:r>
      <w:r w:rsidRPr="008D220A">
        <w:rPr>
          <w:rFonts w:ascii="Arial" w:hAnsi="Arial" w:cs="Arial"/>
          <w:b/>
          <w:sz w:val="24"/>
          <w:szCs w:val="24"/>
        </w:rPr>
        <w:t>“On commercial accounting of thermal energy and water supply</w:t>
      </w:r>
      <w:r w:rsidR="009047B4" w:rsidRPr="008D220A">
        <w:rPr>
          <w:rFonts w:ascii="Arial" w:hAnsi="Arial" w:cs="Arial"/>
          <w:b/>
          <w:sz w:val="24"/>
          <w:szCs w:val="24"/>
        </w:rPr>
        <w:t>”</w:t>
      </w:r>
      <w:r w:rsidR="009047B4" w:rsidRPr="008D220A">
        <w:rPr>
          <w:rFonts w:ascii="Arial" w:hAnsi="Arial" w:cs="Arial"/>
          <w:sz w:val="24"/>
          <w:szCs w:val="24"/>
        </w:rPr>
        <w:t xml:space="preserve"> (</w:t>
      </w:r>
      <w:hyperlink r:id="rId22" w:history="1">
        <w:r w:rsidRPr="008D220A">
          <w:rPr>
            <w:rStyle w:val="ab"/>
            <w:color w:val="auto"/>
            <w:sz w:val="24"/>
            <w:szCs w:val="24"/>
            <w:lang w:val="uk-UA"/>
          </w:rPr>
          <w:t>http://zakon2.rada.gov.ua/laws/show/2119-19/print1476017625641734</w:t>
        </w:r>
      </w:hyperlink>
      <w:r w:rsidR="009047B4" w:rsidRPr="008D220A">
        <w:rPr>
          <w:rStyle w:val="ab"/>
          <w:color w:val="auto"/>
          <w:sz w:val="24"/>
          <w:szCs w:val="24"/>
          <w:lang w:val="uk-UA"/>
        </w:rPr>
        <w:t>)</w:t>
      </w:r>
      <w:r w:rsidRPr="008D220A">
        <w:rPr>
          <w:rStyle w:val="rvts0"/>
          <w:rFonts w:ascii="Arial" w:hAnsi="Arial" w:cs="Arial"/>
          <w:sz w:val="24"/>
          <w:szCs w:val="24"/>
          <w:lang w:val="uk-UA"/>
        </w:rPr>
        <w:t>.</w:t>
      </w:r>
      <w:r w:rsidR="006E77DD" w:rsidRPr="008D220A">
        <w:rPr>
          <w:rStyle w:val="rvts0"/>
          <w:rFonts w:ascii="Arial" w:hAnsi="Arial" w:cs="Arial"/>
          <w:sz w:val="24"/>
          <w:szCs w:val="24"/>
          <w:lang w:val="uk-UA"/>
        </w:rPr>
        <w:t xml:space="preserve"> </w:t>
      </w:r>
    </w:p>
    <w:p w14:paraId="39F00521" w14:textId="77777777" w:rsidR="00EB69B2" w:rsidRPr="008D220A" w:rsidRDefault="00EB69B2" w:rsidP="0066408E">
      <w:pPr>
        <w:jc w:val="both"/>
        <w:rPr>
          <w:rFonts w:ascii="Arial" w:hAnsi="Arial" w:cs="Arial"/>
          <w:sz w:val="24"/>
          <w:szCs w:val="24"/>
        </w:rPr>
      </w:pPr>
      <w:r w:rsidRPr="008D220A">
        <w:rPr>
          <w:rFonts w:ascii="Arial" w:hAnsi="Arial" w:cs="Arial"/>
          <w:sz w:val="24"/>
          <w:szCs w:val="24"/>
        </w:rPr>
        <w:t xml:space="preserve">The Law has been developed in line with Energy Efficiency Directive No. 2012/27/EC on Energy Efficiency and provides for mandatory commercial accounting of thermal energy and water for all types of consumers, which is essential to attract private investment in municipal heat supply sector. </w:t>
      </w:r>
    </w:p>
    <w:p w14:paraId="2FA2AF4D" w14:textId="77777777" w:rsidR="009047B4" w:rsidRPr="008D220A" w:rsidRDefault="009047B4" w:rsidP="0066408E">
      <w:pPr>
        <w:jc w:val="both"/>
        <w:rPr>
          <w:rFonts w:ascii="Arial" w:hAnsi="Arial" w:cs="Arial"/>
          <w:sz w:val="24"/>
          <w:szCs w:val="24"/>
        </w:rPr>
      </w:pPr>
    </w:p>
    <w:p w14:paraId="7CEE13C5" w14:textId="3A9FED28" w:rsidR="009047B4" w:rsidRPr="008D220A" w:rsidRDefault="00EB69B2" w:rsidP="004F3C5D">
      <w:pPr>
        <w:jc w:val="both"/>
        <w:rPr>
          <w:rFonts w:ascii="Arial" w:hAnsi="Arial" w:cs="Arial"/>
          <w:sz w:val="24"/>
          <w:szCs w:val="24"/>
        </w:rPr>
      </w:pPr>
      <w:r w:rsidRPr="008D220A">
        <w:rPr>
          <w:rFonts w:ascii="Arial" w:hAnsi="Arial" w:cs="Arial"/>
          <w:b/>
          <w:sz w:val="24"/>
          <w:szCs w:val="24"/>
        </w:rPr>
        <w:t xml:space="preserve">4) The Law of Ukraine # 1581-d dated 09-11-2017 “On housing and utility services” </w:t>
      </w:r>
      <w:r w:rsidR="005F66DB" w:rsidRPr="008D220A">
        <w:rPr>
          <w:rFonts w:ascii="Arial" w:hAnsi="Arial" w:cs="Arial"/>
          <w:b/>
          <w:sz w:val="24"/>
          <w:szCs w:val="24"/>
        </w:rPr>
        <w:t>(</w:t>
      </w:r>
      <w:r w:rsidR="005F66DB" w:rsidRPr="008D220A">
        <w:rPr>
          <w:rFonts w:ascii="Arial" w:hAnsi="Arial" w:cs="Arial"/>
          <w:sz w:val="24"/>
          <w:szCs w:val="24"/>
        </w:rPr>
        <w:t xml:space="preserve">http://zakon3.rada.gov.ua/laws/show/2189-19). </w:t>
      </w:r>
    </w:p>
    <w:p w14:paraId="547956BD" w14:textId="0C7CF0F3" w:rsidR="009047B4" w:rsidRPr="008D220A" w:rsidRDefault="00EB69B2" w:rsidP="004F3C5D">
      <w:pPr>
        <w:jc w:val="both"/>
        <w:rPr>
          <w:rFonts w:ascii="Arial" w:hAnsi="Arial" w:cs="Arial"/>
          <w:sz w:val="24"/>
          <w:szCs w:val="24"/>
        </w:rPr>
      </w:pPr>
      <w:r w:rsidRPr="008D220A">
        <w:rPr>
          <w:rFonts w:ascii="Arial" w:hAnsi="Arial" w:cs="Arial"/>
          <w:sz w:val="24"/>
          <w:szCs w:val="24"/>
        </w:rPr>
        <w:t xml:space="preserve">The Law contains UNDP experts recommendations on hot water supply services and autonomous heating systems for domestic needs (that has not been agreeable to law before); and regarding commercial accounting of utility services. </w:t>
      </w:r>
    </w:p>
    <w:p w14:paraId="1527E203" w14:textId="77777777" w:rsidR="00EB69B2" w:rsidRPr="008D220A" w:rsidRDefault="00EB69B2" w:rsidP="00AA60F7">
      <w:pPr>
        <w:jc w:val="both"/>
      </w:pPr>
    </w:p>
    <w:p w14:paraId="38608E69" w14:textId="77777777" w:rsidR="00C16032" w:rsidRPr="008D220A" w:rsidRDefault="00EB69B2" w:rsidP="00AA60F7">
      <w:pPr>
        <w:tabs>
          <w:tab w:val="left" w:pos="0"/>
        </w:tabs>
        <w:contextualSpacing/>
        <w:jc w:val="both"/>
        <w:rPr>
          <w:rFonts w:ascii="Arial" w:hAnsi="Arial" w:cs="Arial"/>
          <w:sz w:val="24"/>
          <w:szCs w:val="24"/>
          <w:lang w:val="en-US"/>
        </w:rPr>
      </w:pPr>
      <w:r w:rsidRPr="008D220A">
        <w:rPr>
          <w:rFonts w:ascii="Arial" w:hAnsi="Arial" w:cs="Arial"/>
          <w:sz w:val="24"/>
          <w:szCs w:val="24"/>
          <w:lang w:val="en-US"/>
        </w:rPr>
        <w:t>UNDP project experts also contributed to</w:t>
      </w:r>
      <w:r w:rsidRPr="008D220A">
        <w:rPr>
          <w:rFonts w:ascii="Arial" w:hAnsi="Arial" w:cs="Arial"/>
          <w:b/>
          <w:sz w:val="24"/>
          <w:szCs w:val="24"/>
          <w:lang w:val="en-US"/>
        </w:rPr>
        <w:t xml:space="preserve"> the formulation of bioenergy part of the “Energy Strategy of Ukraine until 2035: Safety, Energy Efficiency, Competitiveness” approved by the Government </w:t>
      </w:r>
      <w:r w:rsidRPr="008D220A">
        <w:rPr>
          <w:rFonts w:ascii="Arial" w:hAnsi="Arial" w:cs="Arial"/>
          <w:sz w:val="24"/>
          <w:szCs w:val="24"/>
          <w:lang w:val="en-US"/>
        </w:rPr>
        <w:t>Decree #605-p on 18.08.2017</w:t>
      </w:r>
    </w:p>
    <w:p w14:paraId="36165071" w14:textId="32EA570D" w:rsidR="00EB69B2" w:rsidRPr="008D220A" w:rsidRDefault="00244D45" w:rsidP="00AA60F7">
      <w:pPr>
        <w:tabs>
          <w:tab w:val="left" w:pos="0"/>
        </w:tabs>
        <w:contextualSpacing/>
        <w:jc w:val="both"/>
        <w:rPr>
          <w:rFonts w:ascii="Arial" w:hAnsi="Arial" w:cs="Arial"/>
          <w:sz w:val="24"/>
          <w:szCs w:val="24"/>
          <w:lang w:val="en-US" w:eastAsia="ru-RU"/>
        </w:rPr>
      </w:pPr>
      <w:r w:rsidRPr="008D220A">
        <w:rPr>
          <w:rFonts w:ascii="Arial" w:hAnsi="Arial" w:cs="Arial"/>
          <w:sz w:val="24"/>
          <w:szCs w:val="24"/>
          <w:lang w:val="en-US"/>
        </w:rPr>
        <w:t>(</w:t>
      </w:r>
      <w:hyperlink r:id="rId23" w:history="1">
        <w:r w:rsidRPr="008D220A">
          <w:rPr>
            <w:rStyle w:val="ab"/>
            <w:color w:val="auto"/>
            <w:sz w:val="24"/>
            <w:szCs w:val="24"/>
            <w:lang w:val="en-US"/>
          </w:rPr>
          <w:t>http://www.kmu.gov.ua/control/uk/cardnpd?docid=250250456</w:t>
        </w:r>
      </w:hyperlink>
      <w:r w:rsidRPr="008D220A">
        <w:rPr>
          <w:rFonts w:ascii="Arial" w:hAnsi="Arial" w:cs="Arial"/>
          <w:sz w:val="24"/>
          <w:szCs w:val="24"/>
          <w:lang w:val="en-US"/>
        </w:rPr>
        <w:t>)</w:t>
      </w:r>
      <w:r w:rsidR="00EB69B2" w:rsidRPr="008D220A">
        <w:rPr>
          <w:rFonts w:ascii="Arial" w:hAnsi="Arial" w:cs="Arial"/>
          <w:sz w:val="24"/>
          <w:szCs w:val="24"/>
          <w:lang w:val="en-US"/>
        </w:rPr>
        <w:t xml:space="preserve">. </w:t>
      </w:r>
      <w:r w:rsidR="00EB69B2" w:rsidRPr="008D220A">
        <w:rPr>
          <w:rFonts w:ascii="Arial" w:hAnsi="Arial" w:cs="Arial"/>
          <w:sz w:val="24"/>
          <w:szCs w:val="24"/>
          <w:shd w:val="clear" w:color="auto" w:fill="FCFCFC"/>
          <w:lang w:val="en-US" w:eastAsia="ru-RU"/>
        </w:rPr>
        <w:t>The new energy strategy is a program document that defines the whole complex of large-scale reforms in the energy sector of Ukraine and defines the goals by 2035 and global steps to achieve them. The renewable energy sources target is set at 8% in 2020 and 25% in 2035 compared to 4% in 2015.</w:t>
      </w:r>
    </w:p>
    <w:p w14:paraId="10A264FB" w14:textId="77777777" w:rsidR="00C30C35" w:rsidRPr="008D220A" w:rsidRDefault="00C30C35" w:rsidP="00736C10">
      <w:pPr>
        <w:tabs>
          <w:tab w:val="left" w:pos="0"/>
        </w:tabs>
        <w:jc w:val="both"/>
        <w:rPr>
          <w:rFonts w:ascii="Arial" w:hAnsi="Arial" w:cs="Arial"/>
          <w:sz w:val="24"/>
          <w:szCs w:val="24"/>
        </w:rPr>
      </w:pPr>
    </w:p>
    <w:p w14:paraId="0E090850" w14:textId="146A73A5" w:rsidR="00C30C35" w:rsidRPr="008D220A" w:rsidRDefault="000B3ADD" w:rsidP="00E95887">
      <w:pPr>
        <w:tabs>
          <w:tab w:val="left" w:pos="0"/>
        </w:tabs>
        <w:jc w:val="both"/>
        <w:rPr>
          <w:rFonts w:ascii="Arial" w:hAnsi="Arial" w:cs="Arial"/>
          <w:sz w:val="24"/>
          <w:szCs w:val="24"/>
        </w:rPr>
      </w:pPr>
      <w:r w:rsidRPr="008D220A">
        <w:rPr>
          <w:rFonts w:ascii="Arial" w:hAnsi="Arial" w:cs="Arial"/>
          <w:b/>
          <w:sz w:val="24"/>
          <w:szCs w:val="24"/>
          <w:lang w:val="en-US"/>
        </w:rPr>
        <w:t>Adoption of</w:t>
      </w:r>
      <w:r w:rsidR="00C02C3C" w:rsidRPr="008D220A">
        <w:rPr>
          <w:rFonts w:ascii="Arial" w:hAnsi="Arial" w:cs="Arial"/>
          <w:b/>
          <w:sz w:val="24"/>
          <w:szCs w:val="24"/>
        </w:rPr>
        <w:t xml:space="preserve"> </w:t>
      </w:r>
      <w:r w:rsidRPr="008D220A">
        <w:rPr>
          <w:rFonts w:ascii="Arial" w:hAnsi="Arial" w:cs="Arial"/>
          <w:b/>
          <w:sz w:val="24"/>
          <w:szCs w:val="24"/>
        </w:rPr>
        <w:t>biomass energy targets in the pilot regions</w:t>
      </w:r>
    </w:p>
    <w:p w14:paraId="7D1B354B" w14:textId="77777777" w:rsidR="000B3ADD" w:rsidRPr="008D220A" w:rsidRDefault="000B3ADD" w:rsidP="00E95887">
      <w:pPr>
        <w:tabs>
          <w:tab w:val="left" w:pos="0"/>
        </w:tabs>
        <w:jc w:val="both"/>
        <w:rPr>
          <w:rFonts w:ascii="Arial" w:hAnsi="Arial" w:cs="Arial"/>
          <w:sz w:val="24"/>
          <w:szCs w:val="24"/>
        </w:rPr>
      </w:pPr>
    </w:p>
    <w:p w14:paraId="476F309A" w14:textId="48DEF4A6" w:rsidR="006E77DD" w:rsidRPr="008D220A" w:rsidRDefault="00B6079C" w:rsidP="00B6079C">
      <w:pPr>
        <w:spacing w:after="120"/>
        <w:jc w:val="both"/>
        <w:rPr>
          <w:rFonts w:ascii="Arial" w:hAnsi="Arial" w:cs="Arial"/>
          <w:sz w:val="24"/>
          <w:szCs w:val="24"/>
        </w:rPr>
      </w:pPr>
      <w:r w:rsidRPr="008D220A">
        <w:rPr>
          <w:rFonts w:ascii="Arial" w:hAnsi="Arial" w:cs="Arial"/>
          <w:sz w:val="24"/>
          <w:szCs w:val="24"/>
        </w:rPr>
        <w:t xml:space="preserve">In 2017 the Project had to accelerate local efforts to help finally agree and enact Regional Biomass Programs </w:t>
      </w:r>
      <w:r w:rsidR="003B4808" w:rsidRPr="008D220A">
        <w:rPr>
          <w:rFonts w:ascii="Arial" w:hAnsi="Arial" w:cs="Arial"/>
          <w:sz w:val="24"/>
          <w:szCs w:val="24"/>
        </w:rPr>
        <w:t xml:space="preserve">or at least adopt biomass energy targets </w:t>
      </w:r>
      <w:r w:rsidRPr="008D220A">
        <w:rPr>
          <w:rFonts w:ascii="Arial" w:hAnsi="Arial" w:cs="Arial"/>
          <w:sz w:val="24"/>
          <w:szCs w:val="24"/>
        </w:rPr>
        <w:t xml:space="preserve">in 7 selected oblasts of Ukraine. To facilitate Municipal Biomass Programs adoption, the project </w:t>
      </w:r>
      <w:r w:rsidR="00EF6B20" w:rsidRPr="008D220A">
        <w:rPr>
          <w:rFonts w:ascii="Arial" w:hAnsi="Arial" w:cs="Arial"/>
          <w:sz w:val="24"/>
          <w:szCs w:val="24"/>
        </w:rPr>
        <w:t>organized</w:t>
      </w:r>
      <w:r w:rsidRPr="008D220A">
        <w:rPr>
          <w:rFonts w:ascii="Arial" w:hAnsi="Arial" w:cs="Arial"/>
          <w:sz w:val="24"/>
          <w:szCs w:val="24"/>
        </w:rPr>
        <w:t xml:space="preserve"> a thematic support task force consisting of 3 consultants </w:t>
      </w:r>
      <w:r w:rsidR="00EF6B20" w:rsidRPr="008D220A">
        <w:rPr>
          <w:rFonts w:ascii="Arial" w:hAnsi="Arial" w:cs="Arial"/>
          <w:sz w:val="24"/>
          <w:szCs w:val="24"/>
        </w:rPr>
        <w:t>that helped manage knowledge and accompanied</w:t>
      </w:r>
      <w:r w:rsidRPr="008D220A">
        <w:rPr>
          <w:rFonts w:ascii="Arial" w:hAnsi="Arial" w:cs="Arial"/>
          <w:sz w:val="24"/>
          <w:szCs w:val="24"/>
        </w:rPr>
        <w:t xml:space="preserve"> the process o</w:t>
      </w:r>
      <w:r w:rsidR="00EF6B20" w:rsidRPr="008D220A">
        <w:rPr>
          <w:rFonts w:ascii="Arial" w:hAnsi="Arial" w:cs="Arial"/>
          <w:sz w:val="24"/>
          <w:szCs w:val="24"/>
        </w:rPr>
        <w:t xml:space="preserve">f agreeing and enactment of </w:t>
      </w:r>
      <w:r w:rsidRPr="008D220A">
        <w:rPr>
          <w:rFonts w:ascii="Arial" w:hAnsi="Arial" w:cs="Arial"/>
          <w:sz w:val="24"/>
          <w:szCs w:val="24"/>
        </w:rPr>
        <w:t>Regional Biomass Programs with advice and guidance on legal aspects, sustainability and environmental/economic impact.</w:t>
      </w:r>
      <w:r w:rsidR="00EF6B20" w:rsidRPr="008D220A">
        <w:rPr>
          <w:rFonts w:ascii="Arial" w:hAnsi="Arial" w:cs="Arial"/>
          <w:sz w:val="24"/>
          <w:szCs w:val="24"/>
        </w:rPr>
        <w:t xml:space="preserve"> </w:t>
      </w:r>
      <w:r w:rsidR="008D39A6" w:rsidRPr="008D220A">
        <w:rPr>
          <w:rFonts w:ascii="Arial" w:hAnsi="Arial" w:cs="Arial"/>
          <w:sz w:val="24"/>
          <w:szCs w:val="24"/>
        </w:rPr>
        <w:t xml:space="preserve">The Project also cooperated with an influential all-Ukrainian NGO “All-Ukrainian Ecological League” that </w:t>
      </w:r>
      <w:r w:rsidR="00FB0741" w:rsidRPr="008D220A">
        <w:rPr>
          <w:rFonts w:ascii="Arial" w:hAnsi="Arial" w:cs="Arial"/>
          <w:sz w:val="24"/>
          <w:szCs w:val="24"/>
        </w:rPr>
        <w:t>through a number of seminars</w:t>
      </w:r>
      <w:r w:rsidR="00504DBD" w:rsidRPr="008D220A">
        <w:rPr>
          <w:rFonts w:ascii="Arial" w:hAnsi="Arial" w:cs="Arial"/>
          <w:sz w:val="24"/>
          <w:szCs w:val="24"/>
        </w:rPr>
        <w:t xml:space="preserve"> </w:t>
      </w:r>
      <w:r w:rsidR="00FB0741" w:rsidRPr="008D220A">
        <w:rPr>
          <w:rFonts w:ascii="Arial" w:hAnsi="Arial" w:cs="Arial"/>
          <w:sz w:val="24"/>
          <w:szCs w:val="24"/>
        </w:rPr>
        <w:t>/</w:t>
      </w:r>
      <w:r w:rsidR="00504DBD" w:rsidRPr="008D220A">
        <w:rPr>
          <w:rFonts w:ascii="Arial" w:hAnsi="Arial" w:cs="Arial"/>
          <w:sz w:val="24"/>
          <w:szCs w:val="24"/>
        </w:rPr>
        <w:t xml:space="preserve"> </w:t>
      </w:r>
      <w:r w:rsidR="00FB0741" w:rsidRPr="008D220A">
        <w:rPr>
          <w:rFonts w:ascii="Arial" w:hAnsi="Arial" w:cs="Arial"/>
          <w:sz w:val="24"/>
          <w:szCs w:val="24"/>
        </w:rPr>
        <w:t>round</w:t>
      </w:r>
      <w:r w:rsidR="00504DBD" w:rsidRPr="008D220A">
        <w:rPr>
          <w:rFonts w:ascii="Arial" w:hAnsi="Arial" w:cs="Arial"/>
          <w:sz w:val="24"/>
          <w:szCs w:val="24"/>
        </w:rPr>
        <w:t xml:space="preserve"> </w:t>
      </w:r>
      <w:r w:rsidR="00FB0741" w:rsidRPr="008D220A">
        <w:rPr>
          <w:rFonts w:ascii="Arial" w:hAnsi="Arial" w:cs="Arial"/>
          <w:sz w:val="24"/>
          <w:szCs w:val="24"/>
        </w:rPr>
        <w:t>tables</w:t>
      </w:r>
      <w:r w:rsidR="00504DBD" w:rsidRPr="008D220A">
        <w:rPr>
          <w:rFonts w:ascii="Arial" w:hAnsi="Arial" w:cs="Arial"/>
          <w:sz w:val="24"/>
          <w:szCs w:val="24"/>
        </w:rPr>
        <w:t xml:space="preserve"> </w:t>
      </w:r>
      <w:r w:rsidR="00FB0741" w:rsidRPr="008D220A">
        <w:rPr>
          <w:rFonts w:ascii="Arial" w:hAnsi="Arial" w:cs="Arial"/>
          <w:sz w:val="24"/>
          <w:szCs w:val="24"/>
        </w:rPr>
        <w:t>/</w:t>
      </w:r>
      <w:r w:rsidR="00504DBD" w:rsidRPr="008D220A">
        <w:rPr>
          <w:rFonts w:ascii="Arial" w:hAnsi="Arial" w:cs="Arial"/>
          <w:sz w:val="24"/>
          <w:szCs w:val="24"/>
        </w:rPr>
        <w:t xml:space="preserve"> </w:t>
      </w:r>
      <w:r w:rsidR="00FB0741" w:rsidRPr="008D220A">
        <w:rPr>
          <w:rFonts w:ascii="Arial" w:hAnsi="Arial" w:cs="Arial"/>
          <w:sz w:val="24"/>
          <w:szCs w:val="24"/>
        </w:rPr>
        <w:t>discussions</w:t>
      </w:r>
      <w:r w:rsidR="00504DBD" w:rsidRPr="008D220A">
        <w:rPr>
          <w:rFonts w:ascii="Arial" w:hAnsi="Arial" w:cs="Arial"/>
          <w:sz w:val="24"/>
          <w:szCs w:val="24"/>
        </w:rPr>
        <w:t xml:space="preserve"> </w:t>
      </w:r>
      <w:r w:rsidR="00FB0741" w:rsidRPr="008D220A">
        <w:rPr>
          <w:rFonts w:ascii="Arial" w:hAnsi="Arial" w:cs="Arial"/>
          <w:sz w:val="24"/>
          <w:szCs w:val="24"/>
        </w:rPr>
        <w:t>/</w:t>
      </w:r>
      <w:r w:rsidR="00504DBD" w:rsidRPr="008D220A">
        <w:rPr>
          <w:rFonts w:ascii="Arial" w:hAnsi="Arial" w:cs="Arial"/>
          <w:sz w:val="24"/>
          <w:szCs w:val="24"/>
        </w:rPr>
        <w:t xml:space="preserve"> </w:t>
      </w:r>
      <w:r w:rsidR="00FB0741" w:rsidRPr="008D220A">
        <w:rPr>
          <w:rFonts w:ascii="Arial" w:hAnsi="Arial" w:cs="Arial"/>
          <w:sz w:val="24"/>
          <w:szCs w:val="24"/>
        </w:rPr>
        <w:t>hearings</w:t>
      </w:r>
      <w:r w:rsidR="00504DBD" w:rsidRPr="008D220A">
        <w:rPr>
          <w:rFonts w:ascii="Arial" w:hAnsi="Arial" w:cs="Arial"/>
          <w:sz w:val="24"/>
          <w:szCs w:val="24"/>
        </w:rPr>
        <w:t xml:space="preserve"> </w:t>
      </w:r>
      <w:r w:rsidR="00FB0741" w:rsidRPr="008D220A">
        <w:rPr>
          <w:rFonts w:ascii="Arial" w:hAnsi="Arial" w:cs="Arial"/>
          <w:sz w:val="24"/>
          <w:szCs w:val="24"/>
        </w:rPr>
        <w:t>/</w:t>
      </w:r>
      <w:r w:rsidR="00504DBD" w:rsidRPr="008D220A">
        <w:rPr>
          <w:rFonts w:ascii="Arial" w:hAnsi="Arial" w:cs="Arial"/>
          <w:sz w:val="24"/>
          <w:szCs w:val="24"/>
        </w:rPr>
        <w:t xml:space="preserve"> </w:t>
      </w:r>
      <w:r w:rsidR="00FB0741" w:rsidRPr="008D220A">
        <w:rPr>
          <w:rFonts w:ascii="Arial" w:hAnsi="Arial" w:cs="Arial"/>
          <w:sz w:val="24"/>
          <w:szCs w:val="24"/>
        </w:rPr>
        <w:t xml:space="preserve">meetings and other events </w:t>
      </w:r>
      <w:r w:rsidR="008D39A6" w:rsidRPr="008D220A">
        <w:rPr>
          <w:rFonts w:ascii="Arial" w:hAnsi="Arial" w:cs="Arial"/>
          <w:sz w:val="24"/>
          <w:szCs w:val="24"/>
        </w:rPr>
        <w:t xml:space="preserve">supported the </w:t>
      </w:r>
      <w:r w:rsidR="00FB0741" w:rsidRPr="008D220A">
        <w:rPr>
          <w:rFonts w:ascii="Arial" w:hAnsi="Arial" w:cs="Arial"/>
          <w:sz w:val="24"/>
          <w:szCs w:val="24"/>
        </w:rPr>
        <w:t xml:space="preserve">adoption of the developed biomass targets making use of the knowledge already </w:t>
      </w:r>
      <w:r w:rsidR="00FB0741" w:rsidRPr="008D220A">
        <w:rPr>
          <w:rFonts w:ascii="Arial" w:hAnsi="Arial" w:cs="Arial"/>
          <w:sz w:val="24"/>
          <w:szCs w:val="24"/>
        </w:rPr>
        <w:lastRenderedPageBreak/>
        <w:t>gathered under the scope of the Regional Biomass Programmes and number of best practices that key local stakeholders would like to transfer into their own region.</w:t>
      </w:r>
    </w:p>
    <w:p w14:paraId="21D5B086" w14:textId="4856A30A" w:rsidR="0074267B" w:rsidRPr="008D220A" w:rsidRDefault="00504DBD" w:rsidP="0074267B">
      <w:pPr>
        <w:jc w:val="both"/>
        <w:rPr>
          <w:rFonts w:ascii="Arial" w:hAnsi="Arial" w:cs="Arial"/>
          <w:b/>
          <w:sz w:val="24"/>
          <w:szCs w:val="24"/>
          <w:shd w:val="clear" w:color="auto" w:fill="FFFFFF"/>
          <w:lang w:val="en-US" w:eastAsia="ru-RU"/>
        </w:rPr>
      </w:pPr>
      <w:r w:rsidRPr="008D220A">
        <w:rPr>
          <w:rFonts w:ascii="Arial" w:hAnsi="Arial" w:cs="Arial"/>
          <w:sz w:val="24"/>
          <w:szCs w:val="24"/>
        </w:rPr>
        <w:t xml:space="preserve">As a result 3 pilot oblasts – Ivano-Frankivsk, Zakarpattia and Dnipropetrovsk – have adopted biomass </w:t>
      </w:r>
      <w:r w:rsidR="00CC4167" w:rsidRPr="008D220A">
        <w:rPr>
          <w:rFonts w:ascii="Arial" w:hAnsi="Arial" w:cs="Arial"/>
          <w:sz w:val="24"/>
          <w:szCs w:val="24"/>
        </w:rPr>
        <w:t>energy targets</w:t>
      </w:r>
      <w:r w:rsidR="00BC1C1E" w:rsidRPr="008D220A">
        <w:rPr>
          <w:rFonts w:ascii="Arial" w:hAnsi="Arial" w:cs="Arial"/>
          <w:sz w:val="24"/>
          <w:szCs w:val="24"/>
        </w:rPr>
        <w:t xml:space="preserve">. </w:t>
      </w:r>
      <w:r w:rsidR="0074267B" w:rsidRPr="008D220A">
        <w:rPr>
          <w:rFonts w:ascii="Arial" w:hAnsi="Arial" w:cs="Arial"/>
          <w:sz w:val="24"/>
          <w:szCs w:val="24"/>
          <w:shd w:val="clear" w:color="auto" w:fill="FFFFFF"/>
          <w:lang w:val="en-US" w:eastAsia="ru-RU"/>
        </w:rPr>
        <w:t xml:space="preserve">In line with the general decreasing trend in the number of </w:t>
      </w:r>
      <w:r w:rsidR="002E38D8" w:rsidRPr="008D220A">
        <w:rPr>
          <w:rFonts w:ascii="Arial" w:hAnsi="Arial" w:cs="Arial"/>
          <w:sz w:val="24"/>
          <w:szCs w:val="24"/>
          <w:shd w:val="clear" w:color="auto" w:fill="FFFFFF"/>
          <w:lang w:val="en-US" w:eastAsia="ru-RU"/>
        </w:rPr>
        <w:t xml:space="preserve">local </w:t>
      </w:r>
      <w:r w:rsidR="0074267B" w:rsidRPr="008D220A">
        <w:rPr>
          <w:rFonts w:ascii="Arial" w:hAnsi="Arial" w:cs="Arial"/>
          <w:sz w:val="24"/>
          <w:szCs w:val="24"/>
          <w:shd w:val="clear" w:color="auto" w:fill="FFFFFF"/>
          <w:lang w:val="en-US" w:eastAsia="ru-RU"/>
        </w:rPr>
        <w:t xml:space="preserve">policy and strategic documents, biomass energy targets were incorporated into existing or ready energy programs to support and expand existing energy objectives. Local councils consider such practice necessary to avoid overlap in objectives and resources distribution and increase the </w:t>
      </w:r>
      <w:r w:rsidR="007C4580" w:rsidRPr="008D220A">
        <w:rPr>
          <w:rFonts w:ascii="Arial" w:hAnsi="Arial" w:cs="Arial"/>
          <w:sz w:val="24"/>
          <w:szCs w:val="24"/>
          <w:shd w:val="clear" w:color="auto" w:fill="FFFFFF"/>
          <w:lang w:val="en-US" w:eastAsia="ru-RU"/>
        </w:rPr>
        <w:t>chances</w:t>
      </w:r>
      <w:r w:rsidR="0074267B" w:rsidRPr="008D220A">
        <w:rPr>
          <w:rFonts w:ascii="Arial" w:hAnsi="Arial" w:cs="Arial"/>
          <w:sz w:val="24"/>
          <w:szCs w:val="24"/>
          <w:shd w:val="clear" w:color="auto" w:fill="FFFFFF"/>
          <w:lang w:val="en-US" w:eastAsia="ru-RU"/>
        </w:rPr>
        <w:t xml:space="preserve"> of success. There are</w:t>
      </w:r>
      <w:r w:rsidR="002E38D8" w:rsidRPr="008D220A">
        <w:rPr>
          <w:rFonts w:ascii="Arial" w:hAnsi="Arial" w:cs="Arial"/>
          <w:sz w:val="24"/>
          <w:szCs w:val="24"/>
          <w:shd w:val="clear" w:color="auto" w:fill="FFFFFF"/>
          <w:lang w:val="en-US" w:eastAsia="ru-RU"/>
        </w:rPr>
        <w:t xml:space="preserve"> </w:t>
      </w:r>
      <w:r w:rsidR="0074267B" w:rsidRPr="008D220A">
        <w:rPr>
          <w:rFonts w:ascii="Arial" w:hAnsi="Arial" w:cs="Arial"/>
          <w:bCs/>
          <w:sz w:val="24"/>
          <w:szCs w:val="24"/>
          <w:lang w:val="en-US" w:eastAsia="ru-RU"/>
        </w:rPr>
        <w:t>too many programs</w:t>
      </w:r>
      <w:r w:rsidR="0074267B" w:rsidRPr="008D220A">
        <w:rPr>
          <w:rFonts w:ascii="Arial" w:hAnsi="Arial" w:cs="Arial"/>
          <w:sz w:val="24"/>
          <w:szCs w:val="24"/>
          <w:shd w:val="clear" w:color="auto" w:fill="FFFFFF"/>
          <w:lang w:val="en-US" w:eastAsia="ru-RU"/>
        </w:rPr>
        <w:t>, and they are</w:t>
      </w:r>
      <w:r w:rsidR="002E38D8" w:rsidRPr="008D220A">
        <w:rPr>
          <w:rFonts w:ascii="Arial" w:hAnsi="Arial" w:cs="Arial"/>
          <w:sz w:val="24"/>
          <w:szCs w:val="24"/>
          <w:shd w:val="clear" w:color="auto" w:fill="FFFFFF"/>
          <w:lang w:val="en-US" w:eastAsia="ru-RU"/>
        </w:rPr>
        <w:t xml:space="preserve"> </w:t>
      </w:r>
      <w:r w:rsidR="0074267B" w:rsidRPr="008D220A">
        <w:rPr>
          <w:rFonts w:ascii="Arial" w:hAnsi="Arial" w:cs="Arial"/>
          <w:bCs/>
          <w:sz w:val="24"/>
          <w:szCs w:val="24"/>
          <w:lang w:val="en-US" w:eastAsia="ru-RU"/>
        </w:rPr>
        <w:t>too</w:t>
      </w:r>
      <w:r w:rsidR="002E38D8" w:rsidRPr="008D220A">
        <w:rPr>
          <w:rFonts w:ascii="Arial" w:hAnsi="Arial" w:cs="Arial"/>
          <w:sz w:val="24"/>
          <w:szCs w:val="24"/>
          <w:shd w:val="clear" w:color="auto" w:fill="FFFFFF"/>
          <w:lang w:val="en-US" w:eastAsia="ru-RU"/>
        </w:rPr>
        <w:t xml:space="preserve"> </w:t>
      </w:r>
      <w:r w:rsidR="0074267B" w:rsidRPr="008D220A">
        <w:rPr>
          <w:rFonts w:ascii="Arial" w:hAnsi="Arial" w:cs="Arial"/>
          <w:sz w:val="24"/>
          <w:szCs w:val="24"/>
          <w:shd w:val="clear" w:color="auto" w:fill="FFFFFF"/>
          <w:lang w:val="en-US" w:eastAsia="ru-RU"/>
        </w:rPr>
        <w:t>fragmented to secure necessary financing and bring meaningful results as local authorities cannot sufficiently focus on any particular program</w:t>
      </w:r>
      <w:r w:rsidR="00E17744" w:rsidRPr="008D220A">
        <w:rPr>
          <w:rFonts w:ascii="Arial" w:hAnsi="Arial" w:cs="Arial"/>
          <w:sz w:val="24"/>
          <w:szCs w:val="24"/>
          <w:shd w:val="clear" w:color="auto" w:fill="FFFFFF"/>
          <w:lang w:val="en-US" w:eastAsia="ru-RU"/>
        </w:rPr>
        <w:t xml:space="preserve"> </w:t>
      </w:r>
      <w:r w:rsidR="0074267B" w:rsidRPr="008D220A">
        <w:rPr>
          <w:rFonts w:ascii="Arial" w:hAnsi="Arial" w:cs="Arial"/>
          <w:sz w:val="24"/>
          <w:szCs w:val="24"/>
          <w:shd w:val="clear" w:color="auto" w:fill="FFFFFF"/>
          <w:lang w:val="en-US" w:eastAsia="ru-RU"/>
        </w:rPr>
        <w:t>or even properly assess their effectiveness.</w:t>
      </w:r>
      <w:r w:rsidR="00A8415E" w:rsidRPr="008D220A">
        <w:rPr>
          <w:rFonts w:ascii="Arial" w:hAnsi="Arial" w:cs="Arial"/>
          <w:sz w:val="24"/>
          <w:szCs w:val="24"/>
          <w:shd w:val="clear" w:color="auto" w:fill="FFFFFF"/>
          <w:lang w:val="en-US" w:eastAsia="ru-RU"/>
        </w:rPr>
        <w:t xml:space="preserve"> Therefore regional biomass energy targets were included to the following energy policy documents:</w:t>
      </w:r>
    </w:p>
    <w:p w14:paraId="7D5668D5" w14:textId="77777777" w:rsidR="00BC1C1E" w:rsidRPr="008D220A" w:rsidRDefault="00BC1C1E" w:rsidP="00621446">
      <w:pPr>
        <w:tabs>
          <w:tab w:val="left" w:pos="0"/>
        </w:tabs>
        <w:jc w:val="both"/>
        <w:rPr>
          <w:rFonts w:ascii="Arial" w:hAnsi="Arial" w:cs="Arial"/>
          <w:sz w:val="24"/>
          <w:szCs w:val="24"/>
        </w:rPr>
      </w:pPr>
    </w:p>
    <w:p w14:paraId="520D0446" w14:textId="7456291B" w:rsidR="00621446" w:rsidRPr="008D220A" w:rsidRDefault="00536C3E" w:rsidP="00621446">
      <w:pPr>
        <w:tabs>
          <w:tab w:val="left" w:pos="0"/>
        </w:tabs>
        <w:jc w:val="both"/>
        <w:rPr>
          <w:rFonts w:ascii="Arial" w:hAnsi="Arial" w:cs="Arial"/>
          <w:sz w:val="24"/>
          <w:szCs w:val="24"/>
        </w:rPr>
      </w:pPr>
      <w:r w:rsidRPr="008D220A">
        <w:rPr>
          <w:rFonts w:ascii="Arial" w:hAnsi="Arial" w:cs="Arial"/>
          <w:sz w:val="24"/>
          <w:szCs w:val="24"/>
        </w:rPr>
        <w:t xml:space="preserve">On 27.07.2017 </w:t>
      </w:r>
      <w:r w:rsidR="00BC1C1E" w:rsidRPr="008D220A">
        <w:rPr>
          <w:rFonts w:ascii="Arial" w:hAnsi="Arial" w:cs="Arial"/>
          <w:sz w:val="24"/>
          <w:szCs w:val="24"/>
        </w:rPr>
        <w:t xml:space="preserve">necessary changes were </w:t>
      </w:r>
      <w:r w:rsidRPr="008D220A">
        <w:rPr>
          <w:rFonts w:ascii="Arial" w:hAnsi="Arial" w:cs="Arial"/>
          <w:sz w:val="24"/>
          <w:szCs w:val="24"/>
        </w:rPr>
        <w:t>adopted</w:t>
      </w:r>
      <w:r w:rsidR="00BC1C1E" w:rsidRPr="008D220A">
        <w:rPr>
          <w:rFonts w:ascii="Arial" w:hAnsi="Arial" w:cs="Arial"/>
          <w:sz w:val="24"/>
          <w:szCs w:val="24"/>
        </w:rPr>
        <w:t xml:space="preserve"> </w:t>
      </w:r>
      <w:r w:rsidRPr="008D220A">
        <w:rPr>
          <w:rFonts w:ascii="Arial" w:hAnsi="Arial" w:cs="Arial"/>
          <w:sz w:val="24"/>
          <w:szCs w:val="24"/>
        </w:rPr>
        <w:t xml:space="preserve">(by Zakarpattia oblast council) </w:t>
      </w:r>
      <w:r w:rsidR="00BC1C1E" w:rsidRPr="008D220A">
        <w:rPr>
          <w:rFonts w:ascii="Arial" w:hAnsi="Arial" w:cs="Arial"/>
          <w:sz w:val="24"/>
          <w:szCs w:val="24"/>
        </w:rPr>
        <w:t>to the Energy Efficiency and Energy Saving Program</w:t>
      </w:r>
      <w:r w:rsidR="007C02E9" w:rsidRPr="008D220A">
        <w:rPr>
          <w:rFonts w:ascii="Arial" w:hAnsi="Arial" w:cs="Arial"/>
          <w:sz w:val="24"/>
          <w:szCs w:val="24"/>
        </w:rPr>
        <w:t xml:space="preserve"> </w:t>
      </w:r>
      <w:r w:rsidR="00BC1C1E" w:rsidRPr="008D220A">
        <w:rPr>
          <w:rFonts w:ascii="Arial" w:hAnsi="Arial" w:cs="Arial"/>
          <w:sz w:val="24"/>
          <w:szCs w:val="24"/>
        </w:rPr>
        <w:t>of Zak</w:t>
      </w:r>
      <w:r w:rsidRPr="008D220A">
        <w:rPr>
          <w:rFonts w:ascii="Arial" w:hAnsi="Arial" w:cs="Arial"/>
          <w:sz w:val="24"/>
          <w:szCs w:val="24"/>
        </w:rPr>
        <w:t xml:space="preserve">arpattia oblast for 2016-2020. </w:t>
      </w:r>
    </w:p>
    <w:p w14:paraId="332BA80C" w14:textId="5920356A" w:rsidR="007C02E9" w:rsidRPr="008D220A" w:rsidRDefault="007C02E9" w:rsidP="00621446">
      <w:pPr>
        <w:tabs>
          <w:tab w:val="left" w:pos="0"/>
        </w:tabs>
        <w:jc w:val="both"/>
        <w:rPr>
          <w:rFonts w:ascii="Arial" w:hAnsi="Arial" w:cs="Arial"/>
          <w:sz w:val="24"/>
          <w:szCs w:val="24"/>
        </w:rPr>
      </w:pPr>
      <w:r w:rsidRPr="008D220A">
        <w:rPr>
          <w:rFonts w:ascii="Arial" w:hAnsi="Arial" w:cs="Arial"/>
          <w:sz w:val="24"/>
          <w:szCs w:val="24"/>
        </w:rPr>
        <w:t>The Program</w:t>
      </w:r>
      <w:r w:rsidR="00AB58CF" w:rsidRPr="008D220A">
        <w:rPr>
          <w:rFonts w:ascii="Arial" w:hAnsi="Arial" w:cs="Arial"/>
          <w:sz w:val="24"/>
          <w:szCs w:val="24"/>
        </w:rPr>
        <w:t xml:space="preserve"> inter alia</w:t>
      </w:r>
      <w:r w:rsidRPr="008D220A">
        <w:rPr>
          <w:rFonts w:ascii="Arial" w:hAnsi="Arial" w:cs="Arial"/>
          <w:sz w:val="24"/>
          <w:szCs w:val="24"/>
        </w:rPr>
        <w:t xml:space="preserve"> envisages reduction of natural gas consumption by population by 3-5%</w:t>
      </w:r>
      <w:r w:rsidR="00AB58CF" w:rsidRPr="008D220A">
        <w:rPr>
          <w:rFonts w:ascii="Arial" w:hAnsi="Arial" w:cs="Arial"/>
          <w:sz w:val="24"/>
          <w:szCs w:val="24"/>
        </w:rPr>
        <w:t xml:space="preserve"> annually and replacement </w:t>
      </w:r>
      <w:r w:rsidR="00906B51" w:rsidRPr="008D220A">
        <w:rPr>
          <w:rFonts w:ascii="Arial" w:hAnsi="Arial" w:cs="Arial"/>
          <w:sz w:val="24"/>
          <w:szCs w:val="24"/>
        </w:rPr>
        <w:t xml:space="preserve">of </w:t>
      </w:r>
      <w:r w:rsidR="00AB58CF" w:rsidRPr="008D220A">
        <w:rPr>
          <w:rFonts w:ascii="Arial" w:hAnsi="Arial" w:cs="Arial"/>
          <w:sz w:val="24"/>
          <w:szCs w:val="24"/>
        </w:rPr>
        <w:t xml:space="preserve">natural gas </w:t>
      </w:r>
      <w:r w:rsidR="00906B51" w:rsidRPr="008D220A">
        <w:rPr>
          <w:rFonts w:ascii="Arial" w:hAnsi="Arial" w:cs="Arial"/>
          <w:sz w:val="24"/>
          <w:szCs w:val="24"/>
        </w:rPr>
        <w:t>with</w:t>
      </w:r>
      <w:r w:rsidR="00AB58CF" w:rsidRPr="008D220A">
        <w:rPr>
          <w:rFonts w:ascii="Arial" w:hAnsi="Arial" w:cs="Arial"/>
          <w:sz w:val="24"/>
          <w:szCs w:val="24"/>
        </w:rPr>
        <w:t xml:space="preserve"> </w:t>
      </w:r>
      <w:r w:rsidRPr="008D220A">
        <w:rPr>
          <w:rFonts w:ascii="Arial" w:hAnsi="Arial" w:cs="Arial"/>
          <w:sz w:val="24"/>
          <w:szCs w:val="24"/>
        </w:rPr>
        <w:t>bio</w:t>
      </w:r>
      <w:r w:rsidR="00906B51" w:rsidRPr="008D220A">
        <w:rPr>
          <w:rFonts w:ascii="Arial" w:hAnsi="Arial" w:cs="Arial"/>
          <w:sz w:val="24"/>
          <w:szCs w:val="24"/>
        </w:rPr>
        <w:t>mass (pellets)</w:t>
      </w:r>
      <w:r w:rsidRPr="008D220A">
        <w:rPr>
          <w:rFonts w:ascii="Arial" w:hAnsi="Arial" w:cs="Arial"/>
          <w:sz w:val="24"/>
          <w:szCs w:val="24"/>
        </w:rPr>
        <w:t xml:space="preserve"> </w:t>
      </w:r>
      <w:r w:rsidR="00906B51" w:rsidRPr="008D220A">
        <w:rPr>
          <w:rFonts w:ascii="Arial" w:hAnsi="Arial" w:cs="Arial"/>
          <w:sz w:val="24"/>
          <w:szCs w:val="24"/>
        </w:rPr>
        <w:t xml:space="preserve">for thermal energy generation </w:t>
      </w:r>
      <w:r w:rsidRPr="008D220A">
        <w:rPr>
          <w:rFonts w:ascii="Arial" w:hAnsi="Arial" w:cs="Arial"/>
          <w:sz w:val="24"/>
          <w:szCs w:val="24"/>
        </w:rPr>
        <w:t xml:space="preserve">in the </w:t>
      </w:r>
      <w:r w:rsidR="00AB58CF" w:rsidRPr="008D220A">
        <w:rPr>
          <w:rFonts w:ascii="Arial" w:hAnsi="Arial" w:cs="Arial"/>
          <w:sz w:val="24"/>
          <w:szCs w:val="24"/>
        </w:rPr>
        <w:t>municipal sector</w:t>
      </w:r>
      <w:r w:rsidR="00906B51" w:rsidRPr="008D220A">
        <w:rPr>
          <w:rFonts w:ascii="Arial" w:hAnsi="Arial" w:cs="Arial"/>
          <w:sz w:val="24"/>
          <w:szCs w:val="24"/>
        </w:rPr>
        <w:t xml:space="preserve"> by at least 70%.</w:t>
      </w:r>
    </w:p>
    <w:p w14:paraId="2C3193B4" w14:textId="77777777" w:rsidR="00B87631" w:rsidRPr="008D220A" w:rsidRDefault="00B87631" w:rsidP="00621446">
      <w:pPr>
        <w:tabs>
          <w:tab w:val="left" w:pos="0"/>
        </w:tabs>
        <w:jc w:val="both"/>
        <w:rPr>
          <w:rFonts w:ascii="Arial" w:hAnsi="Arial" w:cs="Arial"/>
          <w:sz w:val="24"/>
          <w:szCs w:val="24"/>
        </w:rPr>
      </w:pPr>
    </w:p>
    <w:p w14:paraId="56BEF435" w14:textId="43AE0E22" w:rsidR="001510A7" w:rsidRPr="008D220A" w:rsidRDefault="00536C3E" w:rsidP="00D46666">
      <w:pPr>
        <w:jc w:val="both"/>
        <w:rPr>
          <w:rFonts w:ascii="Helvetica" w:hAnsi="Helvetica"/>
          <w:sz w:val="18"/>
          <w:szCs w:val="18"/>
        </w:rPr>
      </w:pPr>
      <w:r w:rsidRPr="008D220A">
        <w:rPr>
          <w:rFonts w:ascii="Arial" w:hAnsi="Arial" w:cs="Arial"/>
          <w:sz w:val="24"/>
          <w:szCs w:val="24"/>
        </w:rPr>
        <w:t xml:space="preserve">On 15.09.2017 necessary changes were adopted by (Ivano-Frankvsk oblast council) to </w:t>
      </w:r>
      <w:r w:rsidRPr="008D220A">
        <w:rPr>
          <w:rFonts w:ascii="Arial" w:hAnsi="Arial" w:cs="Arial"/>
          <w:sz w:val="24"/>
          <w:szCs w:val="24"/>
          <w:lang w:val="en-US"/>
        </w:rPr>
        <w:t xml:space="preserve">the Target Program on Energy Efficiency and </w:t>
      </w:r>
      <w:r w:rsidR="00770C8A" w:rsidRPr="008D220A">
        <w:rPr>
          <w:rFonts w:ascii="Arial" w:hAnsi="Arial" w:cs="Arial"/>
          <w:sz w:val="24"/>
          <w:szCs w:val="24"/>
          <w:lang w:val="en-US"/>
        </w:rPr>
        <w:t>Renewable E</w:t>
      </w:r>
      <w:r w:rsidRPr="008D220A">
        <w:rPr>
          <w:rFonts w:ascii="Arial" w:hAnsi="Arial" w:cs="Arial"/>
          <w:sz w:val="24"/>
          <w:szCs w:val="24"/>
          <w:lang w:val="en-US"/>
        </w:rPr>
        <w:t xml:space="preserve">nergy </w:t>
      </w:r>
      <w:r w:rsidR="00770C8A" w:rsidRPr="008D220A">
        <w:rPr>
          <w:rFonts w:ascii="Arial" w:hAnsi="Arial" w:cs="Arial"/>
          <w:sz w:val="24"/>
          <w:szCs w:val="24"/>
          <w:lang w:val="en-US"/>
        </w:rPr>
        <w:t>of Ivano-Frankivsk oblast for 2016-2020.</w:t>
      </w:r>
      <w:r w:rsidR="001510A7" w:rsidRPr="008D220A">
        <w:rPr>
          <w:rFonts w:ascii="Arial" w:hAnsi="Arial" w:cs="Arial"/>
          <w:sz w:val="24"/>
          <w:szCs w:val="24"/>
          <w:lang w:val="en-US"/>
        </w:rPr>
        <w:t xml:space="preserve"> The Program provides for considerable reduction (by 35%) of natural gas consumption for thermal energy generation for heating purposes </w:t>
      </w:r>
      <w:r w:rsidR="00565866" w:rsidRPr="008D220A">
        <w:rPr>
          <w:rFonts w:ascii="Arial" w:hAnsi="Arial" w:cs="Arial"/>
          <w:sz w:val="24"/>
          <w:szCs w:val="24"/>
          <w:lang w:val="en-US"/>
        </w:rPr>
        <w:t xml:space="preserve">and its replacement by </w:t>
      </w:r>
      <w:r w:rsidR="00E856A2" w:rsidRPr="008D220A">
        <w:rPr>
          <w:rFonts w:ascii="Arial" w:hAnsi="Arial" w:cs="Arial"/>
          <w:sz w:val="24"/>
          <w:szCs w:val="24"/>
          <w:lang w:val="en-US"/>
        </w:rPr>
        <w:t xml:space="preserve">alternative fuels, including biomass, </w:t>
      </w:r>
      <w:r w:rsidR="001510A7" w:rsidRPr="008D220A">
        <w:rPr>
          <w:rFonts w:ascii="Arial" w:hAnsi="Arial" w:cs="Arial"/>
          <w:sz w:val="24"/>
          <w:szCs w:val="24"/>
          <w:lang w:val="en-US"/>
        </w:rPr>
        <w:t>in the municipal and residential sectors</w:t>
      </w:r>
      <w:r w:rsidR="00E856A2" w:rsidRPr="008D220A">
        <w:rPr>
          <w:rFonts w:ascii="Arial" w:hAnsi="Arial" w:cs="Arial"/>
          <w:sz w:val="24"/>
          <w:szCs w:val="24"/>
          <w:lang w:val="en-US"/>
        </w:rPr>
        <w:t>;</w:t>
      </w:r>
      <w:r w:rsidR="001510A7" w:rsidRPr="008D220A">
        <w:rPr>
          <w:rFonts w:ascii="Arial" w:hAnsi="Arial" w:cs="Arial"/>
          <w:sz w:val="24"/>
          <w:szCs w:val="24"/>
          <w:lang w:val="en-US"/>
        </w:rPr>
        <w:t xml:space="preserve"> reduction of natural gas import by 15%, reduction of GHG and pollutants emissions by 15-20%</w:t>
      </w:r>
      <w:r w:rsidR="001444DE" w:rsidRPr="008D220A">
        <w:rPr>
          <w:rFonts w:ascii="Arial" w:hAnsi="Arial" w:cs="Arial"/>
          <w:sz w:val="24"/>
          <w:szCs w:val="24"/>
          <w:lang w:val="en-US"/>
        </w:rPr>
        <w:t>. The</w:t>
      </w:r>
      <w:r w:rsidR="00FF6801" w:rsidRPr="008D220A">
        <w:rPr>
          <w:rFonts w:ascii="Arial" w:hAnsi="Arial" w:cs="Arial"/>
          <w:sz w:val="24"/>
          <w:szCs w:val="24"/>
          <w:lang w:val="en-US"/>
        </w:rPr>
        <w:t xml:space="preserve"> </w:t>
      </w:r>
      <w:r w:rsidR="00FF6801" w:rsidRPr="008D220A">
        <w:rPr>
          <w:rFonts w:ascii="Arial" w:hAnsi="Arial" w:cs="Arial"/>
          <w:sz w:val="24"/>
          <w:szCs w:val="24"/>
          <w:shd w:val="clear" w:color="auto" w:fill="FFFFFF"/>
        </w:rPr>
        <w:t xml:space="preserve">primary-energy potential for biomass is set at 500,000 tce and includes </w:t>
      </w:r>
      <w:r w:rsidR="00B806CC" w:rsidRPr="008D220A">
        <w:rPr>
          <w:rFonts w:ascii="Arial" w:hAnsi="Arial" w:cs="Arial"/>
          <w:sz w:val="24"/>
          <w:szCs w:val="24"/>
          <w:shd w:val="clear" w:color="auto" w:fill="FFFFFF"/>
        </w:rPr>
        <w:t>ag</w:t>
      </w:r>
      <w:r w:rsidR="00AA521E" w:rsidRPr="008D220A">
        <w:rPr>
          <w:rFonts w:ascii="Arial" w:hAnsi="Arial" w:cs="Arial"/>
          <w:sz w:val="24"/>
          <w:szCs w:val="24"/>
          <w:shd w:val="clear" w:color="auto" w:fill="FFFFFF"/>
        </w:rPr>
        <w:t xml:space="preserve">ricultural </w:t>
      </w:r>
      <w:r w:rsidR="009C3F06" w:rsidRPr="008D220A">
        <w:rPr>
          <w:rFonts w:ascii="Arial" w:hAnsi="Arial" w:cs="Arial"/>
          <w:sz w:val="24"/>
          <w:szCs w:val="24"/>
          <w:shd w:val="clear" w:color="auto" w:fill="FFFFFF"/>
        </w:rPr>
        <w:t xml:space="preserve">and animal farming </w:t>
      </w:r>
      <w:r w:rsidR="00AA521E" w:rsidRPr="008D220A">
        <w:rPr>
          <w:rFonts w:ascii="Arial" w:hAnsi="Arial" w:cs="Arial"/>
          <w:sz w:val="24"/>
          <w:szCs w:val="24"/>
          <w:shd w:val="clear" w:color="auto" w:fill="FFFFFF"/>
        </w:rPr>
        <w:t>residu</w:t>
      </w:r>
      <w:r w:rsidR="00B806CC" w:rsidRPr="008D220A">
        <w:rPr>
          <w:rFonts w:ascii="Arial" w:hAnsi="Arial" w:cs="Arial"/>
          <w:sz w:val="24"/>
          <w:szCs w:val="24"/>
          <w:shd w:val="clear" w:color="auto" w:fill="FFFFFF"/>
        </w:rPr>
        <w:t xml:space="preserve">es </w:t>
      </w:r>
      <w:r w:rsidR="009C3F06" w:rsidRPr="008D220A">
        <w:rPr>
          <w:rFonts w:ascii="Arial" w:hAnsi="Arial" w:cs="Arial"/>
          <w:sz w:val="24"/>
          <w:szCs w:val="24"/>
          <w:shd w:val="clear" w:color="auto" w:fill="FFFFFF"/>
          <w:lang w:val="en-US"/>
        </w:rPr>
        <w:t xml:space="preserve">and also forestry residues. </w:t>
      </w:r>
    </w:p>
    <w:p w14:paraId="65EED5E2" w14:textId="77777777" w:rsidR="007C02E9" w:rsidRPr="008D220A" w:rsidRDefault="007C02E9" w:rsidP="00621446">
      <w:pPr>
        <w:tabs>
          <w:tab w:val="left" w:pos="0"/>
        </w:tabs>
        <w:jc w:val="both"/>
        <w:rPr>
          <w:rFonts w:ascii="Arial" w:hAnsi="Arial" w:cs="Arial"/>
          <w:sz w:val="24"/>
          <w:szCs w:val="24"/>
          <w:lang w:val="en-US"/>
        </w:rPr>
      </w:pPr>
    </w:p>
    <w:p w14:paraId="2A640D13" w14:textId="115357BB" w:rsidR="00770C8A" w:rsidRPr="008D220A" w:rsidRDefault="00770C8A" w:rsidP="00621446">
      <w:pPr>
        <w:tabs>
          <w:tab w:val="left" w:pos="0"/>
        </w:tabs>
        <w:jc w:val="both"/>
        <w:rPr>
          <w:rFonts w:ascii="Arial" w:hAnsi="Arial" w:cs="Arial"/>
          <w:sz w:val="24"/>
          <w:szCs w:val="24"/>
          <w:lang w:val="en-US"/>
        </w:rPr>
      </w:pPr>
      <w:r w:rsidRPr="008D220A">
        <w:rPr>
          <w:rFonts w:ascii="Arial" w:hAnsi="Arial" w:cs="Arial"/>
          <w:sz w:val="24"/>
          <w:szCs w:val="24"/>
          <w:lang w:val="en-US"/>
        </w:rPr>
        <w:t xml:space="preserve">On 01.12.2017 the Energy Saving, Energy Efficiency and Renewable Energy Strategy of Dnipropetrovsk oblast for 2018-203 was adopted by Dnipropetrovsk oblast council. </w:t>
      </w:r>
    </w:p>
    <w:p w14:paraId="455949FF" w14:textId="5DB72D07" w:rsidR="00770C8A" w:rsidRPr="008D220A" w:rsidRDefault="00770C8A" w:rsidP="00621446">
      <w:pPr>
        <w:tabs>
          <w:tab w:val="left" w:pos="0"/>
        </w:tabs>
        <w:jc w:val="both"/>
        <w:rPr>
          <w:rFonts w:ascii="Arial" w:hAnsi="Arial" w:cs="Arial"/>
          <w:sz w:val="24"/>
          <w:szCs w:val="24"/>
          <w:lang w:val="en-US"/>
        </w:rPr>
      </w:pPr>
      <w:r w:rsidRPr="008D220A">
        <w:rPr>
          <w:rFonts w:ascii="Arial" w:hAnsi="Arial" w:cs="Arial"/>
          <w:sz w:val="24"/>
          <w:szCs w:val="24"/>
          <w:lang w:val="en-US"/>
        </w:rPr>
        <w:t>The Strategy provides for</w:t>
      </w:r>
      <w:r w:rsidR="00DC2C15" w:rsidRPr="008D220A">
        <w:rPr>
          <w:rFonts w:ascii="Arial" w:hAnsi="Arial" w:cs="Arial"/>
          <w:sz w:val="24"/>
          <w:szCs w:val="24"/>
          <w:lang w:val="en-US"/>
        </w:rPr>
        <w:t xml:space="preserve"> increas</w:t>
      </w:r>
      <w:r w:rsidR="00565866" w:rsidRPr="008D220A">
        <w:rPr>
          <w:rFonts w:ascii="Arial" w:hAnsi="Arial" w:cs="Arial"/>
          <w:sz w:val="24"/>
          <w:szCs w:val="24"/>
          <w:lang w:val="en-US"/>
        </w:rPr>
        <w:t>e in</w:t>
      </w:r>
      <w:r w:rsidR="00DC2C15" w:rsidRPr="008D220A">
        <w:rPr>
          <w:rFonts w:ascii="Arial" w:hAnsi="Arial" w:cs="Arial"/>
          <w:sz w:val="24"/>
          <w:szCs w:val="24"/>
          <w:lang w:val="en-US"/>
        </w:rPr>
        <w:t xml:space="preserve"> </w:t>
      </w:r>
      <w:r w:rsidR="00565866" w:rsidRPr="008D220A">
        <w:rPr>
          <w:rFonts w:ascii="Arial" w:hAnsi="Arial" w:cs="Arial"/>
          <w:sz w:val="24"/>
          <w:szCs w:val="24"/>
          <w:lang w:val="en-US"/>
        </w:rPr>
        <w:t>r</w:t>
      </w:r>
      <w:r w:rsidR="00DC2C15" w:rsidRPr="008D220A">
        <w:rPr>
          <w:rFonts w:ascii="Arial" w:hAnsi="Arial" w:cs="Arial"/>
          <w:sz w:val="24"/>
          <w:szCs w:val="24"/>
          <w:lang w:val="en-US"/>
        </w:rPr>
        <w:t xml:space="preserve">enewable energy share from 17% in 2017 to 40% in 2035; </w:t>
      </w:r>
      <w:r w:rsidR="00B87631" w:rsidRPr="008D220A">
        <w:rPr>
          <w:rFonts w:ascii="Arial" w:hAnsi="Arial" w:cs="Arial"/>
          <w:sz w:val="24"/>
          <w:szCs w:val="24"/>
          <w:lang w:val="en-US"/>
        </w:rPr>
        <w:t xml:space="preserve">support to biomass production for energy purposes; </w:t>
      </w:r>
      <w:r w:rsidR="00DC2C15" w:rsidRPr="008D220A">
        <w:rPr>
          <w:rFonts w:ascii="Arial" w:hAnsi="Arial" w:cs="Arial"/>
          <w:sz w:val="24"/>
          <w:szCs w:val="24"/>
          <w:lang w:val="en-US"/>
        </w:rPr>
        <w:t xml:space="preserve">expansion of </w:t>
      </w:r>
      <w:r w:rsidR="0052796C" w:rsidRPr="008D220A">
        <w:rPr>
          <w:rFonts w:ascii="Arial" w:hAnsi="Arial" w:cs="Arial"/>
          <w:sz w:val="24"/>
          <w:szCs w:val="24"/>
          <w:lang w:val="en-US"/>
        </w:rPr>
        <w:t xml:space="preserve">alternative </w:t>
      </w:r>
      <w:r w:rsidR="008D33E2" w:rsidRPr="008D220A">
        <w:rPr>
          <w:rFonts w:ascii="Arial" w:hAnsi="Arial" w:cs="Arial"/>
          <w:sz w:val="24"/>
          <w:szCs w:val="24"/>
          <w:lang w:val="en-US"/>
        </w:rPr>
        <w:t xml:space="preserve">thermal </w:t>
      </w:r>
      <w:r w:rsidR="0052796C" w:rsidRPr="008D220A">
        <w:rPr>
          <w:rFonts w:ascii="Arial" w:hAnsi="Arial" w:cs="Arial"/>
          <w:sz w:val="24"/>
          <w:szCs w:val="24"/>
          <w:lang w:val="en-US"/>
        </w:rPr>
        <w:t xml:space="preserve">energy </w:t>
      </w:r>
      <w:r w:rsidR="008D33E2" w:rsidRPr="008D220A">
        <w:rPr>
          <w:rFonts w:ascii="Arial" w:hAnsi="Arial" w:cs="Arial"/>
          <w:sz w:val="24"/>
          <w:szCs w:val="24"/>
          <w:lang w:val="en-US"/>
        </w:rPr>
        <w:t xml:space="preserve">(commercial) </w:t>
      </w:r>
      <w:r w:rsidR="00DC2C15" w:rsidRPr="008D220A">
        <w:rPr>
          <w:rFonts w:ascii="Arial" w:hAnsi="Arial" w:cs="Arial"/>
          <w:sz w:val="24"/>
          <w:szCs w:val="24"/>
          <w:lang w:val="en-US"/>
        </w:rPr>
        <w:t xml:space="preserve">generating capacities </w:t>
      </w:r>
      <w:r w:rsidR="00873102" w:rsidRPr="008D220A">
        <w:rPr>
          <w:rFonts w:ascii="Arial" w:hAnsi="Arial" w:cs="Arial"/>
          <w:sz w:val="24"/>
          <w:szCs w:val="24"/>
          <w:lang w:val="en-US"/>
        </w:rPr>
        <w:t>from 51 facilities in 2017 to 1200</w:t>
      </w:r>
      <w:r w:rsidR="0052796C" w:rsidRPr="008D220A">
        <w:rPr>
          <w:rFonts w:ascii="Arial" w:hAnsi="Arial" w:cs="Arial"/>
          <w:sz w:val="24"/>
          <w:szCs w:val="24"/>
          <w:lang w:val="en-US"/>
        </w:rPr>
        <w:t xml:space="preserve"> in 2035; reduction of GHG emissions by 35% in 2035 compared to </w:t>
      </w:r>
      <w:r w:rsidR="009079DD" w:rsidRPr="008D220A">
        <w:rPr>
          <w:rFonts w:ascii="Arial" w:hAnsi="Arial" w:cs="Arial"/>
          <w:sz w:val="24"/>
          <w:szCs w:val="24"/>
          <w:lang w:val="en-US"/>
        </w:rPr>
        <w:t xml:space="preserve">the </w:t>
      </w:r>
      <w:r w:rsidR="0052796C" w:rsidRPr="008D220A">
        <w:rPr>
          <w:rFonts w:ascii="Arial" w:hAnsi="Arial" w:cs="Arial"/>
          <w:sz w:val="24"/>
          <w:szCs w:val="24"/>
          <w:lang w:val="en-US"/>
        </w:rPr>
        <w:t>baseline 1990</w:t>
      </w:r>
      <w:r w:rsidR="009079DD" w:rsidRPr="008D220A">
        <w:rPr>
          <w:rFonts w:ascii="Arial" w:hAnsi="Arial" w:cs="Arial"/>
          <w:sz w:val="24"/>
          <w:szCs w:val="24"/>
          <w:lang w:val="en-US"/>
        </w:rPr>
        <w:t xml:space="preserve"> levels</w:t>
      </w:r>
      <w:r w:rsidR="00B87631" w:rsidRPr="008D220A">
        <w:rPr>
          <w:rFonts w:ascii="Arial" w:hAnsi="Arial" w:cs="Arial"/>
          <w:sz w:val="24"/>
          <w:szCs w:val="24"/>
          <w:lang w:val="en-US"/>
        </w:rPr>
        <w:t>.</w:t>
      </w:r>
    </w:p>
    <w:p w14:paraId="2F856B27" w14:textId="77777777" w:rsidR="00C16032" w:rsidRPr="008D220A" w:rsidRDefault="00C16032" w:rsidP="00621446">
      <w:pPr>
        <w:tabs>
          <w:tab w:val="left" w:pos="0"/>
        </w:tabs>
        <w:jc w:val="both"/>
        <w:rPr>
          <w:rFonts w:ascii="Arial" w:hAnsi="Arial" w:cs="Arial"/>
          <w:sz w:val="24"/>
          <w:szCs w:val="24"/>
          <w:lang w:val="en-US"/>
        </w:rPr>
      </w:pPr>
    </w:p>
    <w:p w14:paraId="443BC32F" w14:textId="631A6F0D" w:rsidR="00C31DCF" w:rsidRPr="008D220A" w:rsidRDefault="00C16032" w:rsidP="00430616">
      <w:pPr>
        <w:tabs>
          <w:tab w:val="left" w:pos="0"/>
        </w:tabs>
        <w:jc w:val="both"/>
        <w:rPr>
          <w:rFonts w:ascii="Arial" w:hAnsi="Arial" w:cs="Arial"/>
          <w:sz w:val="24"/>
          <w:szCs w:val="24"/>
        </w:rPr>
      </w:pPr>
      <w:r w:rsidRPr="008D220A">
        <w:rPr>
          <w:rFonts w:ascii="Arial" w:hAnsi="Arial" w:cs="Arial"/>
          <w:sz w:val="24"/>
          <w:szCs w:val="24"/>
          <w:lang w:val="en-US"/>
        </w:rPr>
        <w:t xml:space="preserve">On the request received from the project’s beneficiary – State Agency on Energy Efficiency and Energy Saving of Ukraine the new oblast have been considered as the pilot for the development of Regional Programme for promotion of biomass utilization for heat and hot water services in Lviv Oblast. The joint working group of project’s and local experts, under the supervision by the Lviv Oblast Council and departments of Lviv state oblast administration have developed the draft of the regional programme. </w:t>
      </w:r>
    </w:p>
    <w:p w14:paraId="3F58B530" w14:textId="77777777" w:rsidR="00C16032" w:rsidRPr="008D220A" w:rsidRDefault="00C16032" w:rsidP="00430616">
      <w:pPr>
        <w:tabs>
          <w:tab w:val="left" w:pos="0"/>
        </w:tabs>
        <w:jc w:val="both"/>
        <w:rPr>
          <w:rFonts w:ascii="Arial" w:hAnsi="Arial" w:cs="Arial"/>
          <w:sz w:val="24"/>
          <w:szCs w:val="24"/>
        </w:rPr>
      </w:pPr>
    </w:p>
    <w:p w14:paraId="492BC921" w14:textId="77777777" w:rsidR="00C16032" w:rsidRPr="008D220A" w:rsidRDefault="00C16032" w:rsidP="00430616">
      <w:pPr>
        <w:tabs>
          <w:tab w:val="left" w:pos="0"/>
        </w:tabs>
        <w:jc w:val="both"/>
        <w:rPr>
          <w:rFonts w:ascii="Arial" w:hAnsi="Arial" w:cs="Arial"/>
          <w:sz w:val="24"/>
          <w:szCs w:val="24"/>
        </w:rPr>
      </w:pPr>
    </w:p>
    <w:p w14:paraId="2FCFD6E6" w14:textId="77777777" w:rsidR="00C16032" w:rsidRDefault="00C16032" w:rsidP="00430616">
      <w:pPr>
        <w:tabs>
          <w:tab w:val="left" w:pos="0"/>
        </w:tabs>
        <w:jc w:val="both"/>
        <w:rPr>
          <w:rFonts w:ascii="Arial" w:hAnsi="Arial" w:cs="Arial"/>
          <w:sz w:val="24"/>
          <w:szCs w:val="24"/>
        </w:rPr>
      </w:pPr>
    </w:p>
    <w:p w14:paraId="52FF08BE" w14:textId="77777777" w:rsidR="008D220A" w:rsidRDefault="008D220A" w:rsidP="00430616">
      <w:pPr>
        <w:tabs>
          <w:tab w:val="left" w:pos="0"/>
        </w:tabs>
        <w:jc w:val="both"/>
        <w:rPr>
          <w:rFonts w:ascii="Arial" w:hAnsi="Arial" w:cs="Arial"/>
          <w:sz w:val="24"/>
          <w:szCs w:val="24"/>
        </w:rPr>
      </w:pPr>
    </w:p>
    <w:p w14:paraId="1CFF552A" w14:textId="77777777" w:rsidR="008D220A" w:rsidRDefault="008D220A" w:rsidP="00430616">
      <w:pPr>
        <w:tabs>
          <w:tab w:val="left" w:pos="0"/>
        </w:tabs>
        <w:jc w:val="both"/>
        <w:rPr>
          <w:rFonts w:ascii="Arial" w:hAnsi="Arial" w:cs="Arial"/>
          <w:sz w:val="24"/>
          <w:szCs w:val="24"/>
        </w:rPr>
      </w:pPr>
    </w:p>
    <w:p w14:paraId="32EF0117" w14:textId="77777777" w:rsidR="008D220A" w:rsidRDefault="008D220A" w:rsidP="00430616">
      <w:pPr>
        <w:tabs>
          <w:tab w:val="left" w:pos="0"/>
        </w:tabs>
        <w:jc w:val="both"/>
        <w:rPr>
          <w:rFonts w:ascii="Arial" w:hAnsi="Arial" w:cs="Arial"/>
          <w:sz w:val="24"/>
          <w:szCs w:val="24"/>
        </w:rPr>
      </w:pPr>
    </w:p>
    <w:p w14:paraId="411E37EF" w14:textId="77777777" w:rsidR="008D220A" w:rsidRDefault="008D220A" w:rsidP="00430616">
      <w:pPr>
        <w:tabs>
          <w:tab w:val="left" w:pos="0"/>
        </w:tabs>
        <w:jc w:val="both"/>
        <w:rPr>
          <w:rFonts w:ascii="Arial" w:hAnsi="Arial" w:cs="Arial"/>
          <w:sz w:val="24"/>
          <w:szCs w:val="24"/>
        </w:rPr>
      </w:pPr>
    </w:p>
    <w:p w14:paraId="36B3E85D" w14:textId="77777777" w:rsidR="008D220A" w:rsidRPr="008D220A" w:rsidRDefault="008D220A" w:rsidP="00430616">
      <w:pPr>
        <w:tabs>
          <w:tab w:val="left" w:pos="0"/>
        </w:tabs>
        <w:jc w:val="both"/>
        <w:rPr>
          <w:rFonts w:ascii="Arial" w:hAnsi="Arial" w:cs="Arial"/>
          <w:sz w:val="24"/>
          <w:szCs w:val="24"/>
        </w:rPr>
      </w:pPr>
    </w:p>
    <w:p w14:paraId="0895A66C" w14:textId="0CE617DB" w:rsidR="00FF7755" w:rsidRPr="008D220A" w:rsidRDefault="00B83B7E" w:rsidP="00B83B7E">
      <w:pPr>
        <w:pStyle w:val="2"/>
        <w:jc w:val="both"/>
        <w:rPr>
          <w:lang w:val="en-US"/>
        </w:rPr>
      </w:pPr>
      <w:bookmarkStart w:id="23" w:name="_Toc376123028"/>
      <w:r w:rsidRPr="008D220A">
        <w:rPr>
          <w:lang w:val="en-US"/>
        </w:rPr>
        <w:t xml:space="preserve">3.2. </w:t>
      </w:r>
      <w:r w:rsidR="00416A9E" w:rsidRPr="008D220A">
        <w:rPr>
          <w:lang w:val="en-US"/>
        </w:rPr>
        <w:t xml:space="preserve">Developing capacity within </w:t>
      </w:r>
      <w:r w:rsidR="00BD1BD6" w:rsidRPr="008D220A">
        <w:rPr>
          <w:lang w:val="en-US"/>
        </w:rPr>
        <w:t>relevant national bodies</w:t>
      </w:r>
      <w:r w:rsidR="00416A9E" w:rsidRPr="008D220A">
        <w:rPr>
          <w:lang w:val="en-US"/>
        </w:rPr>
        <w:t xml:space="preserve"> to support development and implementation of municipal biomass programme </w:t>
      </w:r>
      <w:r w:rsidR="00416A9E" w:rsidRPr="008D220A">
        <w:rPr>
          <w:lang w:val="en-US"/>
        </w:rPr>
        <w:lastRenderedPageBreak/>
        <w:t xml:space="preserve">through </w:t>
      </w:r>
      <w:r w:rsidR="00BD1BD6" w:rsidRPr="008D220A">
        <w:rPr>
          <w:lang w:val="en-US"/>
        </w:rPr>
        <w:t xml:space="preserve">the </w:t>
      </w:r>
      <w:r w:rsidR="006744F4" w:rsidRPr="008D220A">
        <w:rPr>
          <w:lang w:val="en-US"/>
        </w:rPr>
        <w:t>establish</w:t>
      </w:r>
      <w:r w:rsidR="00BD1BD6" w:rsidRPr="008D220A">
        <w:rPr>
          <w:lang w:val="en-US"/>
        </w:rPr>
        <w:t xml:space="preserve">ment of </w:t>
      </w:r>
      <w:r w:rsidR="00416A9E" w:rsidRPr="008D220A">
        <w:rPr>
          <w:lang w:val="en-US"/>
        </w:rPr>
        <w:t xml:space="preserve">a Biomass Support Unit </w:t>
      </w:r>
      <w:r w:rsidR="00430616" w:rsidRPr="008D220A">
        <w:rPr>
          <w:lang w:val="en-US"/>
        </w:rPr>
        <w:t>or alternative arrangements</w:t>
      </w:r>
      <w:bookmarkEnd w:id="23"/>
    </w:p>
    <w:p w14:paraId="701E3461" w14:textId="77777777" w:rsidR="006744F4" w:rsidRPr="008D220A" w:rsidRDefault="006744F4" w:rsidP="006744F4">
      <w:pPr>
        <w:rPr>
          <w:lang w:val="en-US"/>
        </w:rPr>
      </w:pPr>
    </w:p>
    <w:p w14:paraId="51CC6174" w14:textId="6773761A" w:rsidR="006744F4" w:rsidRPr="008D220A" w:rsidRDefault="00E05912" w:rsidP="00430616">
      <w:pPr>
        <w:jc w:val="both"/>
        <w:rPr>
          <w:rFonts w:ascii="Arial" w:hAnsi="Arial" w:cs="Arial"/>
          <w:b/>
          <w:sz w:val="24"/>
          <w:szCs w:val="24"/>
          <w:lang w:val="en-US"/>
        </w:rPr>
      </w:pPr>
      <w:r w:rsidRPr="008D220A">
        <w:rPr>
          <w:rFonts w:ascii="Arial" w:hAnsi="Arial" w:cs="Arial"/>
          <w:b/>
          <w:sz w:val="24"/>
          <w:szCs w:val="24"/>
          <w:lang w:val="en-US"/>
        </w:rPr>
        <w:t xml:space="preserve">Providing Support </w:t>
      </w:r>
      <w:r w:rsidR="004C6C65" w:rsidRPr="008D220A">
        <w:rPr>
          <w:rFonts w:ascii="Arial" w:hAnsi="Arial" w:cs="Arial"/>
          <w:b/>
          <w:sz w:val="24"/>
          <w:szCs w:val="24"/>
          <w:lang w:val="en-US"/>
        </w:rPr>
        <w:t xml:space="preserve">for the establishment of the Interagency </w:t>
      </w:r>
      <w:r w:rsidR="00430616" w:rsidRPr="008D220A">
        <w:rPr>
          <w:rFonts w:ascii="Arial" w:hAnsi="Arial" w:cs="Arial"/>
          <w:b/>
          <w:sz w:val="24"/>
          <w:szCs w:val="24"/>
          <w:lang w:val="en-US"/>
        </w:rPr>
        <w:t>Biomass</w:t>
      </w:r>
      <w:r w:rsidRPr="008D220A">
        <w:rPr>
          <w:rFonts w:ascii="Arial" w:hAnsi="Arial" w:cs="Arial"/>
          <w:b/>
          <w:sz w:val="24"/>
          <w:szCs w:val="24"/>
          <w:lang w:val="en-US"/>
        </w:rPr>
        <w:t xml:space="preserve"> Working Group</w:t>
      </w:r>
    </w:p>
    <w:p w14:paraId="28C36E7E" w14:textId="77777777" w:rsidR="00BC4FDB" w:rsidRPr="008D220A" w:rsidRDefault="00BC4FDB" w:rsidP="00432F84">
      <w:pPr>
        <w:jc w:val="both"/>
        <w:rPr>
          <w:rFonts w:ascii="Myriad Pro" w:hAnsi="Myriad Pro" w:cs="Arial"/>
          <w:sz w:val="24"/>
          <w:szCs w:val="24"/>
          <w:lang w:val="en-US"/>
        </w:rPr>
      </w:pPr>
    </w:p>
    <w:p w14:paraId="76F8F8FA" w14:textId="3E99DC20" w:rsidR="00001847" w:rsidRPr="008D220A" w:rsidRDefault="004C6C65" w:rsidP="004136BC">
      <w:pPr>
        <w:pStyle w:val="af6"/>
        <w:autoSpaceDE w:val="0"/>
        <w:autoSpaceDN w:val="0"/>
        <w:adjustRightInd w:val="0"/>
        <w:spacing w:after="0" w:line="240" w:lineRule="auto"/>
        <w:ind w:left="0"/>
        <w:jc w:val="both"/>
        <w:rPr>
          <w:rFonts w:ascii="Arial" w:hAnsi="Arial" w:cs="Arial"/>
          <w:sz w:val="24"/>
          <w:szCs w:val="24"/>
        </w:rPr>
      </w:pPr>
      <w:r w:rsidRPr="008D220A">
        <w:rPr>
          <w:rFonts w:ascii="Arial" w:hAnsi="Arial" w:cs="Arial"/>
          <w:sz w:val="24"/>
          <w:szCs w:val="24"/>
        </w:rPr>
        <w:t xml:space="preserve">Working on the creation of the Interagency Biomass Working Group (The IBWG), the Project has analyzed existing institutional set-up related to biomass energy in Ukraine and suggested establishing of the Interagency Biomass Working Group under the leadership of the Ministry of Ecology and Natural Resources of Ukraine as in this case the bioenergy promotion will be linked to a global aim of Paris Agreement implementation without sector-specific lobbying as it could be in the case with other government agencies. The Ministry of Ecology has high level of working relations with the State Agency on Energy Efficiency and Energy Saving of Ukraine, </w:t>
      </w:r>
      <w:r w:rsidR="00420C25" w:rsidRPr="008D220A">
        <w:rPr>
          <w:rFonts w:ascii="Arial" w:hAnsi="Arial" w:cs="Arial"/>
          <w:sz w:val="24"/>
          <w:szCs w:val="24"/>
        </w:rPr>
        <w:t>Ministry of Regional Development, Construction, Housing and Communal Services</w:t>
      </w:r>
      <w:r w:rsidRPr="008D220A">
        <w:rPr>
          <w:rFonts w:ascii="Arial" w:hAnsi="Arial" w:cs="Arial"/>
          <w:sz w:val="24"/>
          <w:szCs w:val="24"/>
        </w:rPr>
        <w:t xml:space="preserve">; and the current Minister of Ecology and Natural Resources of Ukraine has the best performance indicators in the Government of Ukraine and serious political influence. The departments of the Ministry of Ecology have enough capacity to coordinate the work of the Interagency Biomass Working Group. </w:t>
      </w:r>
    </w:p>
    <w:p w14:paraId="1726DDD3" w14:textId="77777777" w:rsidR="001A02E4" w:rsidRPr="008D220A" w:rsidRDefault="001A02E4" w:rsidP="00734660">
      <w:pPr>
        <w:pStyle w:val="af6"/>
        <w:autoSpaceDE w:val="0"/>
        <w:autoSpaceDN w:val="0"/>
        <w:adjustRightInd w:val="0"/>
        <w:spacing w:after="0" w:line="240" w:lineRule="auto"/>
        <w:ind w:left="0"/>
        <w:jc w:val="both"/>
        <w:rPr>
          <w:rFonts w:ascii="Arial" w:hAnsi="Arial" w:cs="Arial"/>
          <w:sz w:val="24"/>
          <w:szCs w:val="24"/>
        </w:rPr>
      </w:pPr>
    </w:p>
    <w:p w14:paraId="0362F042" w14:textId="2F9E9D01" w:rsidR="00FD0680" w:rsidRPr="008D220A" w:rsidRDefault="00001847" w:rsidP="00612828">
      <w:pPr>
        <w:pStyle w:val="af6"/>
        <w:autoSpaceDE w:val="0"/>
        <w:autoSpaceDN w:val="0"/>
        <w:adjustRightInd w:val="0"/>
        <w:spacing w:after="0" w:line="240" w:lineRule="auto"/>
        <w:ind w:left="0"/>
        <w:jc w:val="both"/>
        <w:rPr>
          <w:rFonts w:ascii="Arial" w:hAnsi="Arial" w:cs="Arial"/>
          <w:sz w:val="24"/>
          <w:szCs w:val="24"/>
        </w:rPr>
      </w:pPr>
      <w:r w:rsidRPr="008D220A">
        <w:rPr>
          <w:rFonts w:ascii="Arial" w:hAnsi="Arial" w:cs="Arial"/>
          <w:sz w:val="24"/>
          <w:szCs w:val="24"/>
        </w:rPr>
        <w:t>During April-September 2017 the Project</w:t>
      </w:r>
      <w:r w:rsidR="0032765D" w:rsidRPr="008D220A">
        <w:rPr>
          <w:rFonts w:ascii="Arial" w:hAnsi="Arial" w:cs="Arial"/>
          <w:sz w:val="24"/>
          <w:szCs w:val="24"/>
        </w:rPr>
        <w:t xml:space="preserve"> provided </w:t>
      </w:r>
      <w:r w:rsidR="004C6C65" w:rsidRPr="008D220A">
        <w:rPr>
          <w:rFonts w:ascii="Arial" w:hAnsi="Arial" w:cs="Arial"/>
          <w:sz w:val="24"/>
          <w:szCs w:val="24"/>
        </w:rPr>
        <w:t>organizational assistance, advice and guidance to the Ministry of Ecology and Natural Resources of Ukraine regarding establishing, leading and functioning of the Interagency Biomass Working Group</w:t>
      </w:r>
      <w:r w:rsidR="0032765D" w:rsidRPr="008D220A">
        <w:rPr>
          <w:rFonts w:ascii="Arial" w:hAnsi="Arial" w:cs="Arial"/>
          <w:sz w:val="24"/>
          <w:szCs w:val="24"/>
        </w:rPr>
        <w:t xml:space="preserve"> and helped develop its </w:t>
      </w:r>
      <w:r w:rsidR="000F2574" w:rsidRPr="008D220A">
        <w:rPr>
          <w:rFonts w:ascii="Arial" w:hAnsi="Arial" w:cs="Arial"/>
          <w:sz w:val="24"/>
          <w:szCs w:val="24"/>
        </w:rPr>
        <w:t>R</w:t>
      </w:r>
      <w:r w:rsidR="0032765D" w:rsidRPr="008D220A">
        <w:rPr>
          <w:rFonts w:ascii="Arial" w:hAnsi="Arial" w:cs="Arial"/>
          <w:sz w:val="24"/>
          <w:szCs w:val="24"/>
        </w:rPr>
        <w:t xml:space="preserve">egulation. Finally, on 12.09.2017 the Interagency Bioenergy Working Group was established </w:t>
      </w:r>
      <w:r w:rsidR="00117273" w:rsidRPr="008D220A">
        <w:rPr>
          <w:rFonts w:ascii="Arial" w:hAnsi="Arial" w:cs="Arial"/>
          <w:sz w:val="24"/>
          <w:szCs w:val="24"/>
        </w:rPr>
        <w:t xml:space="preserve">according to the Order of the Ministry of Ecology and Natural Resources of Ukraine #355. </w:t>
      </w:r>
      <w:r w:rsidR="004C6C65" w:rsidRPr="008D220A">
        <w:rPr>
          <w:rFonts w:ascii="Arial" w:hAnsi="Arial" w:cs="Arial"/>
          <w:sz w:val="24"/>
          <w:szCs w:val="24"/>
        </w:rPr>
        <w:t>Relevant national, regional and subregional bodies, non-governmental organizations, including business associations, investment promotion organizations, research institutions etc. have been invited to participate (as observers or otherwise) in the IBWG as required.</w:t>
      </w:r>
    </w:p>
    <w:p w14:paraId="197A2C5A" w14:textId="77777777" w:rsidR="000F2574" w:rsidRPr="008D220A" w:rsidRDefault="000F2574" w:rsidP="00827139">
      <w:pPr>
        <w:pStyle w:val="af6"/>
        <w:autoSpaceDE w:val="0"/>
        <w:autoSpaceDN w:val="0"/>
        <w:adjustRightInd w:val="0"/>
        <w:spacing w:after="0" w:line="240" w:lineRule="auto"/>
        <w:ind w:left="0"/>
        <w:jc w:val="both"/>
        <w:rPr>
          <w:rFonts w:ascii="Arial" w:hAnsi="Arial" w:cs="Arial"/>
          <w:sz w:val="24"/>
          <w:szCs w:val="24"/>
        </w:rPr>
      </w:pPr>
    </w:p>
    <w:p w14:paraId="7F044B44" w14:textId="0C9BDC53" w:rsidR="000F2574" w:rsidRPr="008D220A" w:rsidRDefault="000F2574" w:rsidP="00BF55E4">
      <w:pPr>
        <w:pStyle w:val="af6"/>
        <w:autoSpaceDE w:val="0"/>
        <w:autoSpaceDN w:val="0"/>
        <w:adjustRightInd w:val="0"/>
        <w:spacing w:after="0" w:line="240" w:lineRule="auto"/>
        <w:ind w:left="0"/>
        <w:jc w:val="both"/>
        <w:rPr>
          <w:rFonts w:ascii="Arial" w:hAnsi="Arial" w:cs="Arial"/>
          <w:sz w:val="24"/>
          <w:szCs w:val="24"/>
        </w:rPr>
      </w:pPr>
      <w:r w:rsidRPr="008D220A">
        <w:rPr>
          <w:rFonts w:ascii="Arial" w:hAnsi="Arial" w:cs="Arial"/>
          <w:sz w:val="24"/>
          <w:szCs w:val="24"/>
        </w:rPr>
        <w:t>In line with the approved Regulation</w:t>
      </w:r>
      <w:r w:rsidR="007C5E98" w:rsidRPr="008D220A">
        <w:rPr>
          <w:rFonts w:ascii="Arial" w:hAnsi="Arial" w:cs="Arial"/>
          <w:sz w:val="24"/>
          <w:szCs w:val="24"/>
        </w:rPr>
        <w:t xml:space="preserve">, the IBWG is </w:t>
      </w:r>
      <w:r w:rsidR="00F13ECC" w:rsidRPr="008D220A">
        <w:rPr>
          <w:rFonts w:ascii="Arial" w:hAnsi="Arial" w:cs="Arial"/>
          <w:sz w:val="24"/>
          <w:szCs w:val="24"/>
        </w:rPr>
        <w:t xml:space="preserve">chaired by the representative of the Ministry of Ecology and Natural Resources appointed by the Minister of Ecology. The IBWG chairperson </w:t>
      </w:r>
      <w:r w:rsidR="00420C25" w:rsidRPr="008D220A">
        <w:rPr>
          <w:rFonts w:ascii="Arial" w:hAnsi="Arial" w:cs="Arial"/>
          <w:sz w:val="24"/>
          <w:szCs w:val="24"/>
        </w:rPr>
        <w:t>has two deputies which</w:t>
      </w:r>
      <w:r w:rsidR="00F13ECC" w:rsidRPr="008D220A">
        <w:rPr>
          <w:rFonts w:ascii="Arial" w:hAnsi="Arial" w:cs="Arial"/>
          <w:sz w:val="24"/>
          <w:szCs w:val="24"/>
        </w:rPr>
        <w:t xml:space="preserve"> are representatives of </w:t>
      </w:r>
      <w:r w:rsidR="00420C25" w:rsidRPr="008D220A">
        <w:rPr>
          <w:rFonts w:ascii="Arial" w:hAnsi="Arial" w:cs="Arial"/>
          <w:sz w:val="24"/>
          <w:szCs w:val="24"/>
        </w:rPr>
        <w:t>the Ministry of Regional Development, Construction, Housing and Communal Services and the State Agency on Energy Efficiency and Energy Saving of Ukraine</w:t>
      </w:r>
      <w:r w:rsidR="002E4D1B" w:rsidRPr="008D220A">
        <w:rPr>
          <w:rFonts w:ascii="Arial" w:hAnsi="Arial" w:cs="Arial"/>
          <w:sz w:val="24"/>
          <w:szCs w:val="24"/>
        </w:rPr>
        <w:t>.</w:t>
      </w:r>
      <w:r w:rsidR="00420C25" w:rsidRPr="008D220A">
        <w:rPr>
          <w:rFonts w:ascii="Arial" w:hAnsi="Arial" w:cs="Arial"/>
          <w:sz w:val="24"/>
          <w:szCs w:val="24"/>
        </w:rPr>
        <w:t xml:space="preserve"> </w:t>
      </w:r>
      <w:r w:rsidR="00341274" w:rsidRPr="008D220A">
        <w:rPr>
          <w:rFonts w:ascii="Arial" w:hAnsi="Arial" w:cs="Arial"/>
          <w:sz w:val="24"/>
          <w:szCs w:val="24"/>
        </w:rPr>
        <w:t xml:space="preserve">Representative of the UNDP-GEF Project serves as the Secretary of the IBWG. The IBWG will meet at least once every three months. </w:t>
      </w:r>
    </w:p>
    <w:p w14:paraId="722DF277" w14:textId="77777777" w:rsidR="00430616" w:rsidRPr="008D220A" w:rsidRDefault="00430616" w:rsidP="00CB0995">
      <w:pPr>
        <w:jc w:val="both"/>
        <w:rPr>
          <w:rFonts w:ascii="Arial" w:hAnsi="Arial" w:cs="Arial"/>
          <w:b/>
          <w:sz w:val="24"/>
          <w:szCs w:val="24"/>
          <w:lang w:val="en-US"/>
        </w:rPr>
      </w:pPr>
    </w:p>
    <w:p w14:paraId="4DE082B4" w14:textId="5587711B" w:rsidR="00827139" w:rsidRPr="008D220A" w:rsidRDefault="000F2574" w:rsidP="00D748DF">
      <w:pPr>
        <w:jc w:val="both"/>
        <w:rPr>
          <w:rFonts w:ascii="Arial" w:hAnsi="Arial" w:cs="Arial"/>
          <w:sz w:val="24"/>
          <w:szCs w:val="24"/>
        </w:rPr>
      </w:pPr>
      <w:r w:rsidRPr="008D220A">
        <w:rPr>
          <w:rFonts w:ascii="Arial" w:hAnsi="Arial" w:cs="Arial"/>
          <w:sz w:val="24"/>
          <w:szCs w:val="24"/>
        </w:rPr>
        <w:t xml:space="preserve">An Interagency Biomass Working Group was will work across governmental agencies and partners to help bolster policies and regulations promoting biomass for heat and power, including to meet Ukraine’s obligations under the Paris Agreement on Climate Change, make recommendation on biomass management, production and utilization systems, define technology transfer opportunities and delivery models, as well as facilitate the development of effective decision support tools. </w:t>
      </w:r>
      <w:r w:rsidR="00BF55E4" w:rsidRPr="008D220A">
        <w:rPr>
          <w:rFonts w:ascii="Arial" w:hAnsi="Arial" w:cs="Arial"/>
          <w:sz w:val="24"/>
          <w:szCs w:val="24"/>
        </w:rPr>
        <w:t>It should also s</w:t>
      </w:r>
      <w:r w:rsidR="00827139" w:rsidRPr="008D220A">
        <w:rPr>
          <w:rFonts w:ascii="Arial" w:hAnsi="Arial" w:cs="Arial"/>
          <w:sz w:val="24"/>
          <w:szCs w:val="24"/>
        </w:rPr>
        <w:t>upport a policy dialogue to take forward recommendations of the Project related to commercialization of bioenergy technologies, including regulatory and procedural improvements, incentives, and best practices etc</w:t>
      </w:r>
      <w:r w:rsidR="00BF55E4" w:rsidRPr="008D220A">
        <w:rPr>
          <w:rFonts w:ascii="Arial" w:hAnsi="Arial" w:cs="Arial"/>
          <w:sz w:val="24"/>
          <w:szCs w:val="24"/>
        </w:rPr>
        <w:t>.</w:t>
      </w:r>
    </w:p>
    <w:p w14:paraId="0FFD30CE" w14:textId="77777777" w:rsidR="00734660" w:rsidRPr="008D220A" w:rsidRDefault="00734660" w:rsidP="00D748DF">
      <w:pPr>
        <w:jc w:val="both"/>
        <w:rPr>
          <w:rFonts w:ascii="Arial" w:hAnsi="Arial" w:cs="Arial"/>
          <w:sz w:val="24"/>
          <w:szCs w:val="24"/>
        </w:rPr>
      </w:pPr>
    </w:p>
    <w:p w14:paraId="458A29F0" w14:textId="3F915403" w:rsidR="00407A1F" w:rsidRPr="008D220A" w:rsidRDefault="000F2574" w:rsidP="00D748DF">
      <w:pPr>
        <w:jc w:val="both"/>
        <w:textAlignment w:val="baseline"/>
        <w:rPr>
          <w:rFonts w:ascii="Arial" w:hAnsi="Arial" w:cs="Arial"/>
          <w:sz w:val="24"/>
          <w:szCs w:val="24"/>
        </w:rPr>
      </w:pPr>
      <w:r w:rsidRPr="008D220A">
        <w:rPr>
          <w:rFonts w:ascii="Arial" w:hAnsi="Arial" w:cs="Arial"/>
          <w:sz w:val="24"/>
          <w:szCs w:val="24"/>
        </w:rPr>
        <w:t xml:space="preserve">First meeting of the established Interagency Bioenergy Working Group </w:t>
      </w:r>
      <w:r w:rsidR="00734660" w:rsidRPr="008D220A">
        <w:rPr>
          <w:rFonts w:ascii="Arial" w:hAnsi="Arial" w:cs="Arial"/>
          <w:sz w:val="24"/>
          <w:szCs w:val="24"/>
          <w:lang w:val="en-US"/>
        </w:rPr>
        <w:t>chaired by the Deputy M</w:t>
      </w:r>
      <w:r w:rsidR="004136BC" w:rsidRPr="008D220A">
        <w:rPr>
          <w:rFonts w:ascii="Arial" w:hAnsi="Arial" w:cs="Arial"/>
          <w:sz w:val="24"/>
          <w:szCs w:val="24"/>
          <w:lang w:val="en-US"/>
        </w:rPr>
        <w:t xml:space="preserve">inister </w:t>
      </w:r>
      <w:r w:rsidR="00734660" w:rsidRPr="008D220A">
        <w:rPr>
          <w:rFonts w:ascii="Arial" w:hAnsi="Arial" w:cs="Arial"/>
          <w:sz w:val="24"/>
          <w:szCs w:val="24"/>
          <w:lang w:val="en-US"/>
        </w:rPr>
        <w:t xml:space="preserve">of Ecology </w:t>
      </w:r>
      <w:r w:rsidRPr="008D220A">
        <w:rPr>
          <w:rFonts w:ascii="Arial" w:hAnsi="Arial" w:cs="Arial"/>
          <w:sz w:val="24"/>
          <w:szCs w:val="24"/>
        </w:rPr>
        <w:t>was held on 4.10.2017</w:t>
      </w:r>
      <w:r w:rsidR="00160D54" w:rsidRPr="008D220A">
        <w:rPr>
          <w:rFonts w:ascii="Arial" w:hAnsi="Arial" w:cs="Arial"/>
          <w:sz w:val="24"/>
          <w:szCs w:val="24"/>
        </w:rPr>
        <w:t>. Further, on</w:t>
      </w:r>
      <w:r w:rsidR="00827139" w:rsidRPr="008D220A">
        <w:rPr>
          <w:rFonts w:ascii="Arial" w:hAnsi="Arial" w:cs="Arial"/>
          <w:sz w:val="24"/>
          <w:szCs w:val="24"/>
        </w:rPr>
        <w:t xml:space="preserve"> 04.12.2017 </w:t>
      </w:r>
      <w:r w:rsidR="00160D54" w:rsidRPr="008D220A">
        <w:rPr>
          <w:rFonts w:ascii="Arial" w:hAnsi="Arial" w:cs="Arial"/>
          <w:sz w:val="24"/>
          <w:szCs w:val="24"/>
        </w:rPr>
        <w:t>the IBWG met for the second time to discuss</w:t>
      </w:r>
      <w:r w:rsidR="00827139" w:rsidRPr="008D220A">
        <w:rPr>
          <w:rFonts w:ascii="Arial" w:hAnsi="Arial" w:cs="Arial"/>
          <w:sz w:val="24"/>
          <w:szCs w:val="24"/>
        </w:rPr>
        <w:t xml:space="preserve"> </w:t>
      </w:r>
      <w:r w:rsidR="00407A1F" w:rsidRPr="008D220A">
        <w:rPr>
          <w:rFonts w:ascii="Arial" w:hAnsi="Arial" w:cs="Arial"/>
          <w:sz w:val="24"/>
          <w:szCs w:val="24"/>
          <w:shd w:val="clear" w:color="auto" w:fill="FFFFFF"/>
        </w:rPr>
        <w:t xml:space="preserve">the strategy for optimizing the state </w:t>
      </w:r>
      <w:r w:rsidR="00407A1F" w:rsidRPr="008D220A">
        <w:rPr>
          <w:rFonts w:ascii="Arial" w:hAnsi="Arial" w:cs="Arial"/>
          <w:sz w:val="24"/>
          <w:szCs w:val="24"/>
        </w:rPr>
        <w:t xml:space="preserve">regulatory control and management of bioenergy development, production and use in Ukraine. UNDP-GEF Project consultants also presented i) a concept of wood residues utilization as biomass for heating, ii) a methodology of </w:t>
      </w:r>
      <w:r w:rsidR="003E0D9C" w:rsidRPr="008D220A">
        <w:rPr>
          <w:rFonts w:ascii="Arial" w:hAnsi="Arial" w:cs="Arial"/>
          <w:sz w:val="24"/>
          <w:szCs w:val="24"/>
          <w:lang w:val="en-US"/>
        </w:rPr>
        <w:t xml:space="preserve">economic and </w:t>
      </w:r>
      <w:r w:rsidR="003E0D9C" w:rsidRPr="008D220A">
        <w:rPr>
          <w:rFonts w:ascii="Arial" w:hAnsi="Arial" w:cs="Arial"/>
          <w:sz w:val="24"/>
          <w:szCs w:val="24"/>
        </w:rPr>
        <w:t xml:space="preserve">financial appraisal of the budget-funded municipal biomass projects, iii) a draft of the Government Decree to include energy crops (trees) cultivation to the list of environmental activities; iv) Biomass info-kit to be used during trainings and information and awareness campaign. </w:t>
      </w:r>
    </w:p>
    <w:p w14:paraId="373EE574" w14:textId="0486E19E" w:rsidR="000F2574" w:rsidRPr="008D220A" w:rsidRDefault="000F2574" w:rsidP="00D748DF">
      <w:pPr>
        <w:jc w:val="both"/>
        <w:rPr>
          <w:rFonts w:ascii="Arial" w:hAnsi="Arial" w:cs="Arial"/>
          <w:sz w:val="24"/>
          <w:szCs w:val="24"/>
        </w:rPr>
      </w:pPr>
    </w:p>
    <w:p w14:paraId="1963F37F" w14:textId="62E4B6FE" w:rsidR="00827139" w:rsidRPr="008D220A" w:rsidRDefault="00D748DF" w:rsidP="00D748DF">
      <w:pPr>
        <w:jc w:val="both"/>
        <w:rPr>
          <w:rFonts w:ascii="Arial" w:hAnsi="Arial" w:cs="Arial"/>
          <w:b/>
          <w:sz w:val="24"/>
          <w:szCs w:val="24"/>
          <w:lang w:val="en-US"/>
        </w:rPr>
      </w:pPr>
      <w:r w:rsidRPr="008D220A">
        <w:rPr>
          <w:rFonts w:ascii="Arial" w:hAnsi="Arial" w:cs="Arial"/>
          <w:b/>
          <w:sz w:val="24"/>
          <w:szCs w:val="24"/>
        </w:rPr>
        <w:lastRenderedPageBreak/>
        <w:t>Development/</w:t>
      </w:r>
      <w:r w:rsidR="00FD43E2" w:rsidRPr="008D220A">
        <w:rPr>
          <w:rFonts w:ascii="Arial" w:hAnsi="Arial" w:cs="Arial"/>
          <w:b/>
          <w:sz w:val="24"/>
          <w:szCs w:val="24"/>
        </w:rPr>
        <w:t>adaptation</w:t>
      </w:r>
      <w:r w:rsidRPr="008D220A">
        <w:rPr>
          <w:rFonts w:ascii="Arial" w:hAnsi="Arial" w:cs="Arial"/>
          <w:b/>
          <w:sz w:val="24"/>
          <w:szCs w:val="24"/>
        </w:rPr>
        <w:t xml:space="preserve"> of a suitable national methodology for calculating GHG emissions reductions generated due to the replacement of fossil fuel by biomass</w:t>
      </w:r>
    </w:p>
    <w:p w14:paraId="7F5469DE" w14:textId="77777777" w:rsidR="000F2574" w:rsidRPr="008D220A" w:rsidRDefault="000F2574" w:rsidP="00430616">
      <w:pPr>
        <w:spacing w:after="120"/>
        <w:jc w:val="both"/>
        <w:rPr>
          <w:rFonts w:ascii="Arial" w:hAnsi="Arial" w:cs="Arial"/>
          <w:b/>
          <w:sz w:val="24"/>
          <w:szCs w:val="24"/>
          <w:lang w:val="en-US"/>
        </w:rPr>
      </w:pPr>
    </w:p>
    <w:p w14:paraId="4FF17187" w14:textId="426FC1F4" w:rsidR="00D8715A" w:rsidRPr="008D220A" w:rsidRDefault="00D748DF" w:rsidP="00D8715A">
      <w:pPr>
        <w:tabs>
          <w:tab w:val="left" w:pos="-1701"/>
        </w:tabs>
        <w:jc w:val="both"/>
        <w:rPr>
          <w:rFonts w:ascii="Arial" w:eastAsia="Calibri" w:hAnsi="Arial" w:cs="Arial"/>
          <w:sz w:val="24"/>
          <w:szCs w:val="24"/>
        </w:rPr>
      </w:pPr>
      <w:r w:rsidRPr="008D220A">
        <w:rPr>
          <w:rFonts w:ascii="Arial" w:hAnsi="Arial" w:cs="Arial"/>
          <w:sz w:val="24"/>
          <w:szCs w:val="24"/>
        </w:rPr>
        <w:t xml:space="preserve">In line with the recommendation (#8) of the Midterm review, the Project is to support the development/adaptation and approval of a suitable national methodology for calculating GHG emissions reductions generated due to the replacement of fossil fuel (in case of the Project – natural gas) by biomass. </w:t>
      </w:r>
      <w:r w:rsidR="00D8715A" w:rsidRPr="008D220A">
        <w:rPr>
          <w:rFonts w:ascii="Arial" w:eastAsia="Calibri" w:hAnsi="Arial" w:cs="Arial"/>
          <w:sz w:val="24"/>
          <w:szCs w:val="24"/>
        </w:rPr>
        <w:t xml:space="preserve">According to the Midterm Review recommendation the Project may either use CDM methodology or any other methodology developed in accordance with </w:t>
      </w:r>
      <w:r w:rsidR="00D8715A" w:rsidRPr="008D220A">
        <w:rPr>
          <w:rFonts w:ascii="Arial" w:hAnsi="Arial" w:cs="Arial"/>
          <w:sz w:val="24"/>
          <w:szCs w:val="24"/>
        </w:rPr>
        <w:t xml:space="preserve">the </w:t>
      </w:r>
      <w:r w:rsidR="00D8715A" w:rsidRPr="008D220A">
        <w:rPr>
          <w:rFonts w:ascii="Arial" w:eastAsiaTheme="minorHAnsi" w:hAnsi="Arial" w:cs="Arial"/>
          <w:bCs/>
          <w:sz w:val="24"/>
          <w:szCs w:val="24"/>
        </w:rPr>
        <w:t>guidance of Joint Implementation Supervisory Committee (JISC)</w:t>
      </w:r>
      <w:r w:rsidR="00D8715A" w:rsidRPr="008D220A">
        <w:rPr>
          <w:rFonts w:ascii="Arial" w:hAnsi="Arial" w:cs="Arial"/>
          <w:sz w:val="24"/>
          <w:szCs w:val="24"/>
        </w:rPr>
        <w:t xml:space="preserve"> as a basis, and to adapt it to national circumstances</w:t>
      </w:r>
      <w:r w:rsidR="00D8715A" w:rsidRPr="008D220A">
        <w:rPr>
          <w:rFonts w:ascii="Arial" w:eastAsia="Calibri" w:hAnsi="Arial" w:cs="Arial"/>
          <w:sz w:val="24"/>
          <w:szCs w:val="24"/>
        </w:rPr>
        <w:t>.</w:t>
      </w:r>
      <w:r w:rsidR="00D8715A" w:rsidRPr="008D220A">
        <w:rPr>
          <w:rFonts w:ascii="Arial" w:eastAsiaTheme="minorHAnsi" w:hAnsi="Arial" w:cs="Arial"/>
          <w:sz w:val="24"/>
          <w:szCs w:val="24"/>
        </w:rPr>
        <w:t xml:space="preserve"> It needs to be done to ensure the accuracy of estimations, because default methods cannot consider the peculiarities of national statistics etc. and could thus increase the uncertainty.</w:t>
      </w:r>
    </w:p>
    <w:p w14:paraId="0B68366E" w14:textId="77777777" w:rsidR="00D748DF" w:rsidRPr="008D220A" w:rsidRDefault="00D748DF" w:rsidP="00D748DF">
      <w:pPr>
        <w:jc w:val="both"/>
        <w:rPr>
          <w:rFonts w:ascii="Arial" w:hAnsi="Arial" w:cs="Arial"/>
          <w:sz w:val="24"/>
          <w:szCs w:val="24"/>
        </w:rPr>
      </w:pPr>
    </w:p>
    <w:p w14:paraId="4364A8D4" w14:textId="77777777" w:rsidR="00D8715A" w:rsidRPr="008D220A" w:rsidRDefault="00D8715A" w:rsidP="00D8715A">
      <w:pPr>
        <w:autoSpaceDE w:val="0"/>
        <w:autoSpaceDN w:val="0"/>
        <w:jc w:val="both"/>
        <w:rPr>
          <w:rFonts w:ascii="Arial" w:hAnsi="Arial" w:cs="Arial"/>
          <w:sz w:val="24"/>
          <w:szCs w:val="24"/>
        </w:rPr>
      </w:pPr>
      <w:r w:rsidRPr="008D220A">
        <w:rPr>
          <w:rFonts w:ascii="Arial" w:hAnsi="Arial" w:cs="Arial"/>
          <w:sz w:val="24"/>
          <w:szCs w:val="24"/>
        </w:rPr>
        <w:t xml:space="preserve">In Ukraine, GHG emissions occur in the following sectors set by the IPCC: </w:t>
      </w:r>
      <w:r w:rsidRPr="008D220A">
        <w:rPr>
          <w:rFonts w:ascii="Arial" w:hAnsi="Arial" w:cs="Arial"/>
          <w:sz w:val="24"/>
          <w:szCs w:val="24"/>
        </w:rPr>
        <w:sym w:font="Symbol" w:char="F0B7"/>
      </w:r>
      <w:r w:rsidRPr="008D220A">
        <w:rPr>
          <w:rFonts w:ascii="Arial" w:hAnsi="Arial" w:cs="Arial"/>
          <w:sz w:val="24"/>
          <w:szCs w:val="24"/>
        </w:rPr>
        <w:t xml:space="preserve"> </w:t>
      </w:r>
      <w:r w:rsidRPr="008D220A">
        <w:rPr>
          <w:rFonts w:ascii="Arial" w:hAnsi="Arial" w:cs="Arial"/>
          <w:b/>
          <w:sz w:val="24"/>
          <w:szCs w:val="24"/>
        </w:rPr>
        <w:t>Energy;</w:t>
      </w:r>
      <w:r w:rsidRPr="008D220A">
        <w:rPr>
          <w:rFonts w:ascii="Arial" w:hAnsi="Arial" w:cs="Arial"/>
          <w:sz w:val="24"/>
          <w:szCs w:val="24"/>
        </w:rPr>
        <w:t xml:space="preserve"> </w:t>
      </w:r>
      <w:r w:rsidRPr="008D220A">
        <w:rPr>
          <w:rFonts w:ascii="Arial" w:hAnsi="Arial" w:cs="Arial"/>
          <w:sz w:val="24"/>
          <w:szCs w:val="24"/>
        </w:rPr>
        <w:sym w:font="Symbol" w:char="F0B7"/>
      </w:r>
      <w:r w:rsidRPr="008D220A">
        <w:rPr>
          <w:rFonts w:ascii="Arial" w:hAnsi="Arial" w:cs="Arial"/>
          <w:sz w:val="24"/>
          <w:szCs w:val="24"/>
        </w:rPr>
        <w:t xml:space="preserve"> Industrial Processes and Product Use (IPPU); </w:t>
      </w:r>
      <w:r w:rsidRPr="008D220A">
        <w:rPr>
          <w:rFonts w:ascii="Arial" w:hAnsi="Arial" w:cs="Arial"/>
          <w:sz w:val="24"/>
          <w:szCs w:val="24"/>
        </w:rPr>
        <w:sym w:font="Symbol" w:char="F0B7"/>
      </w:r>
      <w:r w:rsidRPr="008D220A">
        <w:rPr>
          <w:rFonts w:ascii="Arial" w:hAnsi="Arial" w:cs="Arial"/>
          <w:sz w:val="24"/>
          <w:szCs w:val="24"/>
        </w:rPr>
        <w:t xml:space="preserve"> Agriculture; Forestry and Other Land Use (AFOLU); </w:t>
      </w:r>
      <w:r w:rsidRPr="008D220A">
        <w:rPr>
          <w:rFonts w:ascii="Arial" w:hAnsi="Arial" w:cs="Arial"/>
          <w:sz w:val="24"/>
          <w:szCs w:val="24"/>
        </w:rPr>
        <w:sym w:font="Symbol" w:char="F0B7"/>
      </w:r>
      <w:r w:rsidRPr="008D220A">
        <w:rPr>
          <w:rFonts w:ascii="Arial" w:hAnsi="Arial" w:cs="Arial"/>
          <w:sz w:val="24"/>
          <w:szCs w:val="24"/>
        </w:rPr>
        <w:t xml:space="preserve"> Waste. </w:t>
      </w:r>
      <w:r w:rsidRPr="008D220A">
        <w:rPr>
          <w:rFonts w:ascii="Arial" w:hAnsi="Arial" w:cs="Arial"/>
          <w:b/>
          <w:sz w:val="24"/>
          <w:szCs w:val="24"/>
        </w:rPr>
        <w:t>The largest GHG emissions in Ukraine take place in the Energy sector.</w:t>
      </w:r>
      <w:r w:rsidRPr="008D220A">
        <w:rPr>
          <w:rFonts w:ascii="Arial" w:hAnsi="Arial" w:cs="Arial"/>
          <w:sz w:val="24"/>
          <w:szCs w:val="24"/>
        </w:rPr>
        <w:t xml:space="preserve"> In 2014, the share of this sector accounted for around 67% without the LULUCF sector. About 81% of emissions in this sector account for emissions in the Fuel Combustion category, which include the categories of Energy Industries, Manufacturing Industries and Construction, Transport, Other Sectors, and Other.</w:t>
      </w:r>
    </w:p>
    <w:p w14:paraId="07AD9F84" w14:textId="77777777" w:rsidR="00D8715A" w:rsidRPr="008D220A" w:rsidRDefault="00D8715A" w:rsidP="00D8715A">
      <w:pPr>
        <w:autoSpaceDE w:val="0"/>
        <w:autoSpaceDN w:val="0"/>
        <w:jc w:val="both"/>
        <w:rPr>
          <w:rFonts w:ascii="Arial" w:hAnsi="Arial" w:cs="Arial"/>
          <w:sz w:val="24"/>
          <w:szCs w:val="24"/>
        </w:rPr>
      </w:pPr>
    </w:p>
    <w:p w14:paraId="4C5CA4EB" w14:textId="62A8493D" w:rsidR="00D8715A" w:rsidRPr="008D220A" w:rsidRDefault="00D8715A" w:rsidP="00D8715A">
      <w:pPr>
        <w:autoSpaceDE w:val="0"/>
        <w:autoSpaceDN w:val="0"/>
        <w:adjustRightInd w:val="0"/>
        <w:spacing w:after="120"/>
        <w:jc w:val="both"/>
        <w:rPr>
          <w:rFonts w:ascii="Arial" w:hAnsi="Arial" w:cs="Arial"/>
          <w:sz w:val="24"/>
          <w:szCs w:val="24"/>
        </w:rPr>
      </w:pPr>
      <w:r w:rsidRPr="008D220A">
        <w:rPr>
          <w:rFonts w:ascii="Arial" w:hAnsi="Arial" w:cs="Arial"/>
          <w:sz w:val="24"/>
          <w:szCs w:val="24"/>
        </w:rPr>
        <w:t>As a first step to the development/adaptation of a suitable national methodology for calculating GHG emissions reductions generated due to the replacement of fossil fuel by biomass, the analysis of baseline GHG emissions related to the full cycle of solid biomass management in Ukraine has been performed, including the following key categories:</w:t>
      </w:r>
    </w:p>
    <w:p w14:paraId="192FB480" w14:textId="77777777" w:rsidR="00D8715A" w:rsidRPr="008D220A" w:rsidRDefault="00D8715A" w:rsidP="00484F27">
      <w:pPr>
        <w:pStyle w:val="af6"/>
        <w:widowControl w:val="0"/>
        <w:numPr>
          <w:ilvl w:val="0"/>
          <w:numId w:val="11"/>
        </w:numPr>
        <w:autoSpaceDE w:val="0"/>
        <w:autoSpaceDN w:val="0"/>
        <w:adjustRightInd w:val="0"/>
        <w:spacing w:after="120" w:line="240" w:lineRule="auto"/>
        <w:jc w:val="both"/>
        <w:rPr>
          <w:rFonts w:ascii="Arial" w:hAnsi="Arial" w:cs="Arial"/>
          <w:bCs/>
          <w:sz w:val="24"/>
          <w:szCs w:val="24"/>
          <w:shd w:val="clear" w:color="auto" w:fill="FFFFFF"/>
        </w:rPr>
      </w:pPr>
      <w:r w:rsidRPr="008D220A">
        <w:rPr>
          <w:rStyle w:val="Calibri115pt0pt"/>
          <w:rFonts w:ascii="Arial" w:hAnsi="Arial" w:cs="Arial"/>
          <w:b w:val="0"/>
          <w:color w:val="auto"/>
          <w:sz w:val="24"/>
          <w:szCs w:val="24"/>
        </w:rPr>
        <w:t>GHG emissions</w:t>
      </w:r>
      <w:r w:rsidRPr="008D220A">
        <w:rPr>
          <w:rStyle w:val="Calibri115pt0pt"/>
          <w:rFonts w:ascii="Arial" w:hAnsi="Arial" w:cs="Arial"/>
          <w:color w:val="auto"/>
          <w:sz w:val="24"/>
          <w:szCs w:val="24"/>
        </w:rPr>
        <w:t xml:space="preserve"> (</w:t>
      </w:r>
      <w:r w:rsidRPr="008D220A">
        <w:rPr>
          <w:rFonts w:ascii="Arial" w:hAnsi="Arial" w:cs="Arial"/>
          <w:bCs/>
          <w:sz w:val="24"/>
          <w:szCs w:val="24"/>
          <w:shd w:val="clear" w:color="auto" w:fill="FFFFFF"/>
        </w:rPr>
        <w:t>CO</w:t>
      </w:r>
      <w:r w:rsidRPr="008D220A">
        <w:rPr>
          <w:rFonts w:ascii="Arial" w:hAnsi="Arial" w:cs="Arial"/>
          <w:sz w:val="24"/>
          <w:szCs w:val="24"/>
          <w:shd w:val="clear" w:color="auto" w:fill="FFFFFF"/>
          <w:vertAlign w:val="subscript"/>
        </w:rPr>
        <w:t>2</w:t>
      </w:r>
      <w:r w:rsidRPr="008D220A">
        <w:rPr>
          <w:rFonts w:ascii="Arial" w:hAnsi="Arial" w:cs="Arial"/>
          <w:bCs/>
          <w:sz w:val="24"/>
          <w:szCs w:val="24"/>
          <w:shd w:val="clear" w:color="auto" w:fill="FFFFFF"/>
        </w:rPr>
        <w:t>, CH</w:t>
      </w:r>
      <w:r w:rsidRPr="008D220A">
        <w:rPr>
          <w:rFonts w:ascii="Arial" w:hAnsi="Arial" w:cs="Arial"/>
          <w:sz w:val="24"/>
          <w:szCs w:val="24"/>
          <w:shd w:val="clear" w:color="auto" w:fill="FFFFFF"/>
          <w:vertAlign w:val="subscript"/>
        </w:rPr>
        <w:t>4</w:t>
      </w:r>
      <w:r w:rsidRPr="008D220A">
        <w:rPr>
          <w:rFonts w:ascii="Arial" w:hAnsi="Arial" w:cs="Arial"/>
          <w:bCs/>
          <w:sz w:val="24"/>
          <w:szCs w:val="24"/>
          <w:shd w:val="clear" w:color="auto" w:fill="FFFFFF"/>
        </w:rPr>
        <w:t xml:space="preserve"> and N</w:t>
      </w:r>
      <w:r w:rsidRPr="008D220A">
        <w:rPr>
          <w:rFonts w:ascii="Arial" w:hAnsi="Arial" w:cs="Arial"/>
          <w:sz w:val="24"/>
          <w:szCs w:val="24"/>
          <w:shd w:val="clear" w:color="auto" w:fill="FFFFFF"/>
          <w:vertAlign w:val="subscript"/>
        </w:rPr>
        <w:t>2</w:t>
      </w:r>
      <w:r w:rsidRPr="008D220A">
        <w:rPr>
          <w:rFonts w:ascii="Arial" w:hAnsi="Arial" w:cs="Arial"/>
          <w:bCs/>
          <w:sz w:val="24"/>
          <w:szCs w:val="24"/>
          <w:shd w:val="clear" w:color="auto" w:fill="FFFFFF"/>
        </w:rPr>
        <w:t>O</w:t>
      </w:r>
      <w:r w:rsidRPr="008D220A">
        <w:rPr>
          <w:rStyle w:val="Calibri115pt0pt"/>
          <w:rFonts w:ascii="Arial" w:hAnsi="Arial" w:cs="Arial"/>
          <w:color w:val="auto"/>
          <w:sz w:val="24"/>
          <w:szCs w:val="24"/>
        </w:rPr>
        <w:t xml:space="preserve">) from </w:t>
      </w:r>
      <w:r w:rsidRPr="008D220A">
        <w:rPr>
          <w:rStyle w:val="Calibri115pt0pt"/>
          <w:rFonts w:ascii="Arial" w:hAnsi="Arial" w:cs="Arial"/>
          <w:b w:val="0"/>
          <w:color w:val="auto"/>
          <w:sz w:val="24"/>
          <w:szCs w:val="24"/>
        </w:rPr>
        <w:t>solid biomass combustion to be included in Energy sector of the national GHG inventory in line with</w:t>
      </w:r>
      <w:r w:rsidRPr="008D220A">
        <w:rPr>
          <w:rStyle w:val="Calibri115pt0pt"/>
          <w:rFonts w:ascii="Arial" w:hAnsi="Arial" w:cs="Arial"/>
          <w:color w:val="auto"/>
          <w:sz w:val="24"/>
          <w:szCs w:val="24"/>
        </w:rPr>
        <w:t xml:space="preserve"> </w:t>
      </w:r>
      <w:r w:rsidRPr="008D220A">
        <w:rPr>
          <w:rFonts w:ascii="Arial" w:hAnsi="Arial" w:cs="Arial"/>
          <w:bCs/>
          <w:sz w:val="24"/>
          <w:szCs w:val="24"/>
          <w:shd w:val="clear" w:color="auto" w:fill="FFFFFF"/>
        </w:rPr>
        <w:t>2006 IPCC Guidelines for</w:t>
      </w:r>
      <w:r w:rsidRPr="008D220A">
        <w:rPr>
          <w:rStyle w:val="apple-converted-space"/>
          <w:rFonts w:ascii="Arial" w:hAnsi="Arial" w:cs="Arial"/>
          <w:bCs/>
          <w:sz w:val="24"/>
          <w:szCs w:val="24"/>
          <w:shd w:val="clear" w:color="auto" w:fill="FFFFFF"/>
        </w:rPr>
        <w:t> </w:t>
      </w:r>
      <w:r w:rsidRPr="008D220A">
        <w:rPr>
          <w:rFonts w:ascii="Arial" w:hAnsi="Arial" w:cs="Arial"/>
          <w:bCs/>
          <w:sz w:val="24"/>
          <w:szCs w:val="24"/>
          <w:shd w:val="clear" w:color="auto" w:fill="FFFFFF"/>
        </w:rPr>
        <w:t>National Greenhouse Gas Inventories, Volume 2: Energy, Chapter 2: Stationary Combustion</w:t>
      </w:r>
      <w:r w:rsidRPr="008D220A">
        <w:rPr>
          <w:rStyle w:val="aff1"/>
          <w:rFonts w:ascii="Arial" w:hAnsi="Arial" w:cs="Arial"/>
          <w:bCs/>
          <w:sz w:val="24"/>
          <w:szCs w:val="24"/>
          <w:shd w:val="clear" w:color="auto" w:fill="FFFFFF"/>
        </w:rPr>
        <w:footnoteReference w:id="3"/>
      </w:r>
      <w:r w:rsidRPr="008D220A">
        <w:rPr>
          <w:rFonts w:ascii="Arial" w:hAnsi="Arial" w:cs="Arial"/>
          <w:bCs/>
          <w:sz w:val="24"/>
          <w:szCs w:val="24"/>
          <w:shd w:val="clear" w:color="auto" w:fill="FFFFFF"/>
        </w:rPr>
        <w:t>.</w:t>
      </w:r>
    </w:p>
    <w:p w14:paraId="562C3FE8" w14:textId="77777777" w:rsidR="00D8715A" w:rsidRPr="008D220A" w:rsidRDefault="00D8715A" w:rsidP="00484F27">
      <w:pPr>
        <w:pStyle w:val="af6"/>
        <w:widowControl w:val="0"/>
        <w:numPr>
          <w:ilvl w:val="0"/>
          <w:numId w:val="11"/>
        </w:numPr>
        <w:autoSpaceDE w:val="0"/>
        <w:autoSpaceDN w:val="0"/>
        <w:adjustRightInd w:val="0"/>
        <w:spacing w:after="0" w:line="240" w:lineRule="auto"/>
        <w:jc w:val="both"/>
        <w:rPr>
          <w:rStyle w:val="Calibri115pt0pt"/>
          <w:rFonts w:ascii="Arial" w:hAnsi="Arial" w:cs="Arial"/>
          <w:color w:val="auto"/>
          <w:sz w:val="24"/>
          <w:szCs w:val="24"/>
        </w:rPr>
      </w:pPr>
      <w:r w:rsidRPr="008D220A">
        <w:rPr>
          <w:rStyle w:val="Calibri115pt0pt"/>
          <w:rFonts w:ascii="Arial" w:hAnsi="Arial" w:cs="Arial"/>
          <w:b w:val="0"/>
          <w:color w:val="auto"/>
          <w:sz w:val="24"/>
          <w:szCs w:val="24"/>
        </w:rPr>
        <w:t>Non-CO2 emissions from burning of agricultural residues to be included in AFOLU sector of the national GHG inventory in line with</w:t>
      </w:r>
      <w:r w:rsidRPr="008D220A">
        <w:rPr>
          <w:rStyle w:val="Calibri115pt0pt"/>
          <w:rFonts w:ascii="Arial" w:hAnsi="Arial" w:cs="Arial"/>
          <w:color w:val="auto"/>
          <w:sz w:val="24"/>
          <w:szCs w:val="24"/>
        </w:rPr>
        <w:t xml:space="preserve"> </w:t>
      </w:r>
      <w:r w:rsidRPr="008D220A">
        <w:rPr>
          <w:rFonts w:ascii="Arial" w:hAnsi="Arial" w:cs="Arial"/>
          <w:bCs/>
          <w:sz w:val="24"/>
          <w:szCs w:val="24"/>
          <w:shd w:val="clear" w:color="auto" w:fill="FFFFFF"/>
        </w:rPr>
        <w:t>2006 IPCC Guidelines for</w:t>
      </w:r>
      <w:r w:rsidRPr="008D220A">
        <w:rPr>
          <w:rStyle w:val="apple-converted-space"/>
          <w:rFonts w:ascii="Arial" w:hAnsi="Arial" w:cs="Arial"/>
          <w:bCs/>
          <w:sz w:val="24"/>
          <w:szCs w:val="24"/>
          <w:shd w:val="clear" w:color="auto" w:fill="FFFFFF"/>
        </w:rPr>
        <w:t> </w:t>
      </w:r>
      <w:r w:rsidRPr="008D220A">
        <w:rPr>
          <w:rFonts w:ascii="Arial" w:hAnsi="Arial" w:cs="Arial"/>
          <w:bCs/>
          <w:sz w:val="24"/>
          <w:szCs w:val="24"/>
          <w:shd w:val="clear" w:color="auto" w:fill="FFFFFF"/>
        </w:rPr>
        <w:t xml:space="preserve">National Greenhouse Gas Inventories, Volume 4: </w:t>
      </w:r>
      <w:r w:rsidRPr="008D220A">
        <w:rPr>
          <w:rStyle w:val="Calibri115pt0pt"/>
          <w:rFonts w:ascii="Arial" w:hAnsi="Arial" w:cs="Arial"/>
          <w:color w:val="auto"/>
          <w:sz w:val="24"/>
          <w:szCs w:val="24"/>
        </w:rPr>
        <w:t xml:space="preserve"> </w:t>
      </w:r>
      <w:r w:rsidRPr="008D220A">
        <w:rPr>
          <w:rStyle w:val="Calibri115pt0pt"/>
          <w:rFonts w:ascii="Arial" w:hAnsi="Arial" w:cs="Arial"/>
          <w:b w:val="0"/>
          <w:color w:val="auto"/>
          <w:sz w:val="24"/>
          <w:szCs w:val="24"/>
        </w:rPr>
        <w:t>AFOLU; Chapter 5 Cropland</w:t>
      </w:r>
      <w:r w:rsidRPr="008D220A">
        <w:rPr>
          <w:rStyle w:val="Calibri115pt0pt"/>
          <w:rFonts w:ascii="Arial" w:hAnsi="Arial" w:cs="Arial"/>
          <w:color w:val="auto"/>
          <w:sz w:val="24"/>
          <w:szCs w:val="24"/>
        </w:rPr>
        <w:t>;</w:t>
      </w:r>
    </w:p>
    <w:p w14:paraId="617F8F04" w14:textId="45A5F56A" w:rsidR="00D8715A" w:rsidRPr="008D220A" w:rsidRDefault="00D8715A" w:rsidP="00484F27">
      <w:pPr>
        <w:pStyle w:val="af6"/>
        <w:widowControl w:val="0"/>
        <w:numPr>
          <w:ilvl w:val="0"/>
          <w:numId w:val="11"/>
        </w:numPr>
        <w:autoSpaceDE w:val="0"/>
        <w:autoSpaceDN w:val="0"/>
        <w:adjustRightInd w:val="0"/>
        <w:spacing w:after="120" w:line="240" w:lineRule="auto"/>
        <w:jc w:val="both"/>
        <w:rPr>
          <w:rFonts w:ascii="Arial" w:hAnsi="Arial" w:cs="Arial"/>
          <w:bCs/>
          <w:sz w:val="24"/>
          <w:szCs w:val="24"/>
          <w:shd w:val="clear" w:color="auto" w:fill="FFFFFF"/>
        </w:rPr>
      </w:pPr>
      <w:r w:rsidRPr="008D220A">
        <w:rPr>
          <w:rStyle w:val="Calibri115pt0pt"/>
          <w:rFonts w:ascii="Arial" w:hAnsi="Arial" w:cs="Arial"/>
          <w:b w:val="0"/>
          <w:color w:val="auto"/>
          <w:sz w:val="24"/>
          <w:szCs w:val="24"/>
        </w:rPr>
        <w:t>Non-CO2 emissions from agricultural waste (straw) management to be included in Waste sector of the national GHG inventory in line with</w:t>
      </w:r>
      <w:r w:rsidRPr="008D220A">
        <w:rPr>
          <w:rStyle w:val="Calibri115pt0pt"/>
          <w:rFonts w:ascii="Arial" w:hAnsi="Arial" w:cs="Arial"/>
          <w:color w:val="auto"/>
          <w:sz w:val="24"/>
          <w:szCs w:val="24"/>
        </w:rPr>
        <w:t xml:space="preserve"> </w:t>
      </w:r>
      <w:r w:rsidRPr="008D220A">
        <w:rPr>
          <w:rFonts w:ascii="Arial" w:hAnsi="Arial" w:cs="Arial"/>
          <w:sz w:val="24"/>
          <w:szCs w:val="24"/>
          <w:shd w:val="clear" w:color="auto" w:fill="FFFFFF"/>
        </w:rPr>
        <w:t>2006 IPCC Guidelines for</w:t>
      </w:r>
      <w:r w:rsidRPr="008D220A">
        <w:rPr>
          <w:rStyle w:val="apple-converted-space"/>
          <w:rFonts w:ascii="Arial" w:hAnsi="Arial" w:cs="Arial"/>
          <w:sz w:val="24"/>
          <w:szCs w:val="24"/>
          <w:shd w:val="clear" w:color="auto" w:fill="FFFFFF"/>
        </w:rPr>
        <w:t> </w:t>
      </w:r>
      <w:r w:rsidRPr="008D220A">
        <w:rPr>
          <w:rFonts w:ascii="Arial" w:hAnsi="Arial" w:cs="Arial"/>
          <w:sz w:val="24"/>
          <w:szCs w:val="24"/>
          <w:shd w:val="clear" w:color="auto" w:fill="FFFFFF"/>
        </w:rPr>
        <w:t xml:space="preserve">National Greenhouse Gas Inventories, Volume 5: </w:t>
      </w:r>
      <w:r w:rsidRPr="008D220A">
        <w:rPr>
          <w:rStyle w:val="Calibri115pt0pt"/>
          <w:rFonts w:ascii="Arial" w:hAnsi="Arial" w:cs="Arial"/>
          <w:b w:val="0"/>
          <w:color w:val="auto"/>
          <w:sz w:val="24"/>
          <w:szCs w:val="24"/>
        </w:rPr>
        <w:t>Waste; Chapter: 3 Solid Waste Management.</w:t>
      </w:r>
    </w:p>
    <w:p w14:paraId="759E890E" w14:textId="0DF91463" w:rsidR="00D8715A" w:rsidRPr="008D220A" w:rsidRDefault="00D8715A" w:rsidP="00D8715A">
      <w:pPr>
        <w:autoSpaceDE w:val="0"/>
        <w:autoSpaceDN w:val="0"/>
        <w:adjustRightInd w:val="0"/>
        <w:jc w:val="both"/>
        <w:rPr>
          <w:rFonts w:ascii="Arial" w:hAnsi="Arial" w:cs="Arial"/>
          <w:bCs/>
          <w:sz w:val="24"/>
          <w:szCs w:val="24"/>
          <w:shd w:val="clear" w:color="auto" w:fill="FFFFFF"/>
        </w:rPr>
      </w:pPr>
      <w:r w:rsidRPr="008D220A">
        <w:rPr>
          <w:rFonts w:ascii="Arial" w:hAnsi="Arial" w:cs="Arial"/>
          <w:bCs/>
          <w:sz w:val="24"/>
          <w:szCs w:val="24"/>
          <w:shd w:val="clear" w:color="auto" w:fill="FFFFFF"/>
        </w:rPr>
        <w:t xml:space="preserve">In particular, the following </w:t>
      </w:r>
      <w:r w:rsidR="00CB43C6" w:rsidRPr="008D220A">
        <w:rPr>
          <w:rFonts w:ascii="Arial" w:hAnsi="Arial" w:cs="Arial"/>
          <w:bCs/>
          <w:sz w:val="24"/>
          <w:szCs w:val="24"/>
          <w:shd w:val="clear" w:color="auto" w:fill="FFFFFF"/>
        </w:rPr>
        <w:t>analyses for</w:t>
      </w:r>
      <w:r w:rsidRPr="008D220A">
        <w:rPr>
          <w:rFonts w:ascii="Arial" w:hAnsi="Arial" w:cs="Arial"/>
          <w:bCs/>
          <w:sz w:val="24"/>
          <w:szCs w:val="24"/>
          <w:shd w:val="clear" w:color="auto" w:fill="FFFFFF"/>
        </w:rPr>
        <w:t xml:space="preserve"> each category of GHG emissions related to solid biomass management </w:t>
      </w:r>
      <w:r w:rsidR="00011AE3" w:rsidRPr="008D220A">
        <w:rPr>
          <w:rFonts w:ascii="Arial" w:hAnsi="Arial" w:cs="Arial"/>
          <w:bCs/>
          <w:sz w:val="24"/>
          <w:szCs w:val="24"/>
          <w:shd w:val="clear" w:color="auto" w:fill="FFFFFF"/>
        </w:rPr>
        <w:t xml:space="preserve">have been </w:t>
      </w:r>
      <w:r w:rsidRPr="008D220A">
        <w:rPr>
          <w:rFonts w:ascii="Arial" w:hAnsi="Arial" w:cs="Arial"/>
          <w:bCs/>
          <w:sz w:val="24"/>
          <w:szCs w:val="24"/>
          <w:shd w:val="clear" w:color="auto" w:fill="FFFFFF"/>
        </w:rPr>
        <w:t>conducted:</w:t>
      </w:r>
    </w:p>
    <w:p w14:paraId="5DFCE0E9" w14:textId="77777777" w:rsidR="00D8715A" w:rsidRPr="008D220A" w:rsidRDefault="00D8715A" w:rsidP="00484F27">
      <w:pPr>
        <w:pStyle w:val="af6"/>
        <w:widowControl w:val="0"/>
        <w:numPr>
          <w:ilvl w:val="0"/>
          <w:numId w:val="10"/>
        </w:numPr>
        <w:autoSpaceDE w:val="0"/>
        <w:autoSpaceDN w:val="0"/>
        <w:adjustRightInd w:val="0"/>
        <w:spacing w:after="0" w:line="240" w:lineRule="auto"/>
        <w:jc w:val="both"/>
        <w:rPr>
          <w:rFonts w:ascii="Arial" w:hAnsi="Arial" w:cs="Arial"/>
          <w:bCs/>
          <w:sz w:val="24"/>
          <w:szCs w:val="24"/>
          <w:shd w:val="clear" w:color="auto" w:fill="FFFFFF"/>
        </w:rPr>
      </w:pPr>
      <w:r w:rsidRPr="008D220A">
        <w:rPr>
          <w:rFonts w:ascii="Arial" w:hAnsi="Arial" w:cs="Arial"/>
          <w:bCs/>
          <w:sz w:val="24"/>
          <w:szCs w:val="24"/>
          <w:shd w:val="clear" w:color="auto" w:fill="FFFFFF"/>
        </w:rPr>
        <w:t>Assessment of the availability and quality of national statistical data on solid biomass volumes and type of use (including combustion for different categories of biomass) as required for adequate reporting of GHG emission estimations under Energy, AFOLU and Waste sectors of the inventory taking into account national circumstances;</w:t>
      </w:r>
    </w:p>
    <w:p w14:paraId="3057F0E4" w14:textId="77777777" w:rsidR="00D8715A" w:rsidRPr="008D220A" w:rsidRDefault="00D8715A" w:rsidP="00484F27">
      <w:pPr>
        <w:pStyle w:val="af6"/>
        <w:widowControl w:val="0"/>
        <w:numPr>
          <w:ilvl w:val="0"/>
          <w:numId w:val="10"/>
        </w:numPr>
        <w:autoSpaceDE w:val="0"/>
        <w:autoSpaceDN w:val="0"/>
        <w:adjustRightInd w:val="0"/>
        <w:spacing w:after="0" w:line="240" w:lineRule="auto"/>
        <w:jc w:val="both"/>
        <w:rPr>
          <w:rStyle w:val="Calibri115pt0pt"/>
          <w:rFonts w:ascii="Arial" w:hAnsi="Arial" w:cs="Arial"/>
          <w:b w:val="0"/>
          <w:color w:val="auto"/>
          <w:sz w:val="24"/>
          <w:szCs w:val="24"/>
        </w:rPr>
      </w:pPr>
      <w:r w:rsidRPr="008D220A">
        <w:rPr>
          <w:rStyle w:val="Calibri115pt0pt"/>
          <w:rFonts w:ascii="Arial" w:hAnsi="Arial" w:cs="Arial"/>
          <w:b w:val="0"/>
          <w:color w:val="auto"/>
          <w:sz w:val="24"/>
          <w:szCs w:val="24"/>
        </w:rPr>
        <w:t>Assessment for completeness and the accuracy of GHG emissions estimations from solid biomass in the national inventory;</w:t>
      </w:r>
    </w:p>
    <w:p w14:paraId="20CA7D09" w14:textId="75C9460F" w:rsidR="00011AE3" w:rsidRPr="008D220A" w:rsidRDefault="00011AE3" w:rsidP="00484F27">
      <w:pPr>
        <w:pStyle w:val="af6"/>
        <w:widowControl w:val="0"/>
        <w:numPr>
          <w:ilvl w:val="0"/>
          <w:numId w:val="10"/>
        </w:numPr>
        <w:autoSpaceDE w:val="0"/>
        <w:autoSpaceDN w:val="0"/>
        <w:adjustRightInd w:val="0"/>
        <w:spacing w:after="0" w:line="240" w:lineRule="auto"/>
        <w:jc w:val="both"/>
        <w:rPr>
          <w:rStyle w:val="Calibri115pt0pt"/>
          <w:rFonts w:ascii="Arial" w:hAnsi="Arial" w:cs="Arial"/>
          <w:b w:val="0"/>
          <w:color w:val="auto"/>
          <w:sz w:val="24"/>
          <w:szCs w:val="24"/>
        </w:rPr>
      </w:pPr>
      <w:r w:rsidRPr="008D220A">
        <w:rPr>
          <w:rFonts w:ascii="Arial" w:hAnsi="Arial" w:cs="Arial"/>
          <w:bCs/>
          <w:sz w:val="24"/>
          <w:szCs w:val="24"/>
          <w:shd w:val="clear" w:color="auto" w:fill="FFFFFF"/>
        </w:rPr>
        <w:t>D</w:t>
      </w:r>
      <w:r w:rsidR="00D8715A" w:rsidRPr="008D220A">
        <w:rPr>
          <w:rFonts w:ascii="Arial" w:hAnsi="Arial" w:cs="Arial"/>
          <w:bCs/>
          <w:sz w:val="24"/>
          <w:szCs w:val="24"/>
          <w:shd w:val="clear" w:color="auto" w:fill="FFFFFF"/>
        </w:rPr>
        <w:t>ata gaps</w:t>
      </w:r>
      <w:r w:rsidRPr="008D220A">
        <w:rPr>
          <w:rFonts w:ascii="Arial" w:hAnsi="Arial" w:cs="Arial"/>
          <w:bCs/>
          <w:sz w:val="24"/>
          <w:szCs w:val="24"/>
          <w:shd w:val="clear" w:color="auto" w:fill="FFFFFF"/>
        </w:rPr>
        <w:t xml:space="preserve"> identification</w:t>
      </w:r>
      <w:r w:rsidR="00D8715A" w:rsidRPr="008D220A">
        <w:rPr>
          <w:rFonts w:ascii="Arial" w:hAnsi="Arial" w:cs="Arial"/>
          <w:bCs/>
          <w:sz w:val="24"/>
          <w:szCs w:val="24"/>
          <w:shd w:val="clear" w:color="auto" w:fill="FFFFFF"/>
        </w:rPr>
        <w:t>, i.e. availability of national statistical data to estimate GHG emissions from solid biomass separately for Tier 1, 2 and 3 methods as described in the relevant sections of the IPCC 2006 Guidelines</w:t>
      </w:r>
      <w:r w:rsidRPr="008D220A">
        <w:rPr>
          <w:rFonts w:ascii="Arial" w:hAnsi="Arial" w:cs="Arial"/>
          <w:bCs/>
          <w:sz w:val="24"/>
          <w:szCs w:val="24"/>
          <w:shd w:val="clear" w:color="auto" w:fill="FFFFFF"/>
        </w:rPr>
        <w:t>;</w:t>
      </w:r>
    </w:p>
    <w:p w14:paraId="660BA16E" w14:textId="0AC4CD76" w:rsidR="00D8715A" w:rsidRPr="008D220A" w:rsidRDefault="00011AE3" w:rsidP="00484F27">
      <w:pPr>
        <w:pStyle w:val="af6"/>
        <w:widowControl w:val="0"/>
        <w:numPr>
          <w:ilvl w:val="0"/>
          <w:numId w:val="10"/>
        </w:numPr>
        <w:autoSpaceDE w:val="0"/>
        <w:autoSpaceDN w:val="0"/>
        <w:adjustRightInd w:val="0"/>
        <w:spacing w:after="0" w:line="240" w:lineRule="auto"/>
        <w:jc w:val="both"/>
        <w:rPr>
          <w:rFonts w:ascii="Arial" w:hAnsi="Arial" w:cs="Arial"/>
          <w:bCs/>
          <w:sz w:val="24"/>
          <w:szCs w:val="24"/>
        </w:rPr>
      </w:pPr>
      <w:r w:rsidRPr="008D220A">
        <w:rPr>
          <w:rFonts w:ascii="Arial" w:hAnsi="Arial" w:cs="Arial"/>
          <w:sz w:val="24"/>
          <w:szCs w:val="24"/>
        </w:rPr>
        <w:t>R</w:t>
      </w:r>
      <w:r w:rsidR="00D8715A" w:rsidRPr="008D220A">
        <w:rPr>
          <w:rFonts w:ascii="Arial" w:hAnsi="Arial" w:cs="Arial"/>
          <w:sz w:val="24"/>
          <w:szCs w:val="24"/>
        </w:rPr>
        <w:t>efere</w:t>
      </w:r>
      <w:r w:rsidRPr="008D220A">
        <w:rPr>
          <w:rFonts w:ascii="Arial" w:hAnsi="Arial" w:cs="Arial"/>
          <w:sz w:val="24"/>
          <w:szCs w:val="24"/>
        </w:rPr>
        <w:t>nce table summarizing</w:t>
      </w:r>
      <w:r w:rsidR="00D8715A" w:rsidRPr="008D220A">
        <w:rPr>
          <w:rFonts w:ascii="Arial" w:hAnsi="Arial" w:cs="Arial"/>
          <w:sz w:val="24"/>
          <w:szCs w:val="24"/>
        </w:rPr>
        <w:t xml:space="preserve"> GHG emissions from solid biomass for categories a), b), c), including comments on the quality of estimates and data gaps/availability. </w:t>
      </w:r>
    </w:p>
    <w:p w14:paraId="7C9D3104" w14:textId="77777777" w:rsidR="00D8715A" w:rsidRPr="008D220A" w:rsidRDefault="00D8715A" w:rsidP="00D748DF">
      <w:pPr>
        <w:jc w:val="both"/>
        <w:rPr>
          <w:rFonts w:ascii="Arial" w:hAnsi="Arial" w:cs="Arial"/>
          <w:sz w:val="24"/>
          <w:szCs w:val="24"/>
        </w:rPr>
      </w:pPr>
    </w:p>
    <w:p w14:paraId="65928B6D" w14:textId="69FBFC7C" w:rsidR="00484F27" w:rsidRPr="008D220A" w:rsidRDefault="00011AE3" w:rsidP="00FD43E2">
      <w:pPr>
        <w:spacing w:after="120"/>
        <w:jc w:val="both"/>
        <w:rPr>
          <w:rFonts w:ascii="Arial" w:hAnsi="Arial" w:cs="Arial"/>
          <w:sz w:val="24"/>
          <w:szCs w:val="24"/>
        </w:rPr>
      </w:pPr>
      <w:r w:rsidRPr="008D220A">
        <w:rPr>
          <w:rFonts w:ascii="Arial" w:hAnsi="Arial" w:cs="Arial"/>
          <w:sz w:val="24"/>
          <w:szCs w:val="24"/>
          <w:lang w:val="en-US"/>
        </w:rPr>
        <w:lastRenderedPageBreak/>
        <w:t>As a second step</w:t>
      </w:r>
      <w:r w:rsidR="00433277" w:rsidRPr="008D220A">
        <w:rPr>
          <w:rFonts w:ascii="Arial" w:hAnsi="Arial" w:cs="Arial"/>
          <w:sz w:val="24"/>
          <w:szCs w:val="24"/>
          <w:lang w:val="en-US"/>
        </w:rPr>
        <w:t>,</w:t>
      </w:r>
      <w:r w:rsidRPr="008D220A">
        <w:rPr>
          <w:rFonts w:ascii="Arial" w:hAnsi="Arial" w:cs="Arial"/>
          <w:b/>
          <w:sz w:val="24"/>
          <w:szCs w:val="24"/>
          <w:lang w:val="en-US"/>
        </w:rPr>
        <w:t xml:space="preserve"> </w:t>
      </w:r>
      <w:r w:rsidR="00484F27" w:rsidRPr="008D220A">
        <w:rPr>
          <w:rFonts w:ascii="Arial" w:hAnsi="Arial" w:cs="Arial"/>
          <w:sz w:val="24"/>
          <w:szCs w:val="24"/>
        </w:rPr>
        <w:t xml:space="preserve">international approaches and best practices regarding estimating and reporting GHG emissions associated with solid biomass in national inventories </w:t>
      </w:r>
      <w:r w:rsidR="00AC0DB0" w:rsidRPr="008D220A">
        <w:rPr>
          <w:rFonts w:ascii="Arial" w:hAnsi="Arial" w:cs="Arial"/>
          <w:sz w:val="24"/>
          <w:szCs w:val="24"/>
        </w:rPr>
        <w:t xml:space="preserve">were analysed </w:t>
      </w:r>
      <w:r w:rsidR="00484F27" w:rsidRPr="008D220A">
        <w:rPr>
          <w:rFonts w:ascii="Arial" w:hAnsi="Arial" w:cs="Arial"/>
          <w:sz w:val="24"/>
          <w:szCs w:val="24"/>
        </w:rPr>
        <w:t>focusing on 5 selected countries with high rates of biomass (in particular agricultural residues) production and utilization, as well as simi</w:t>
      </w:r>
      <w:r w:rsidR="00AC0DB0" w:rsidRPr="008D220A">
        <w:rPr>
          <w:rFonts w:ascii="Arial" w:hAnsi="Arial" w:cs="Arial"/>
          <w:sz w:val="24"/>
          <w:szCs w:val="24"/>
        </w:rPr>
        <w:t>lar climate conditions (</w:t>
      </w:r>
      <w:r w:rsidR="00484F27" w:rsidRPr="008D220A">
        <w:rPr>
          <w:rFonts w:ascii="Arial" w:hAnsi="Arial" w:cs="Arial"/>
          <w:sz w:val="24"/>
          <w:szCs w:val="24"/>
        </w:rPr>
        <w:t>Macedonia, Hungary, Serbia, Austria and Croatia)</w:t>
      </w:r>
      <w:r w:rsidR="00AC0DB0" w:rsidRPr="008D220A">
        <w:rPr>
          <w:rFonts w:ascii="Arial" w:hAnsi="Arial" w:cs="Arial"/>
          <w:sz w:val="24"/>
          <w:szCs w:val="24"/>
        </w:rPr>
        <w:t xml:space="preserve">. </w:t>
      </w:r>
    </w:p>
    <w:p w14:paraId="41FBC969" w14:textId="77777777" w:rsidR="00484F27" w:rsidRPr="008D220A" w:rsidRDefault="00484F27" w:rsidP="00484F27">
      <w:pPr>
        <w:autoSpaceDE w:val="0"/>
        <w:autoSpaceDN w:val="0"/>
        <w:adjustRightInd w:val="0"/>
        <w:jc w:val="both"/>
        <w:rPr>
          <w:rFonts w:ascii="Arial" w:hAnsi="Arial" w:cs="Arial"/>
        </w:rPr>
      </w:pPr>
    </w:p>
    <w:p w14:paraId="745EBC3F" w14:textId="303B02BC" w:rsidR="00430616" w:rsidRPr="008D220A" w:rsidRDefault="00351A2D" w:rsidP="00FD43E2">
      <w:pPr>
        <w:pStyle w:val="14"/>
        <w:shd w:val="clear" w:color="auto" w:fill="auto"/>
        <w:spacing w:before="0" w:after="72" w:line="259" w:lineRule="exact"/>
        <w:ind w:left="20" w:right="40" w:firstLine="0"/>
      </w:pPr>
      <w:r w:rsidRPr="008D220A">
        <w:rPr>
          <w:rStyle w:val="Calibri115pt0pt"/>
          <w:rFonts w:ascii="Arial" w:hAnsi="Arial" w:cs="Arial"/>
          <w:b w:val="0"/>
          <w:color w:val="auto"/>
          <w:sz w:val="24"/>
          <w:szCs w:val="24"/>
        </w:rPr>
        <w:t>Further, a s</w:t>
      </w:r>
      <w:r w:rsidR="00484F27" w:rsidRPr="008D220A">
        <w:rPr>
          <w:rStyle w:val="Calibri115pt0pt"/>
          <w:rFonts w:ascii="Arial" w:hAnsi="Arial" w:cs="Arial"/>
          <w:b w:val="0"/>
          <w:color w:val="auto"/>
          <w:sz w:val="24"/>
          <w:szCs w:val="24"/>
        </w:rPr>
        <w:t xml:space="preserve">tep-by-step methodology for estimating and monitoring GHG emission reductions from fossil fuel switch </w:t>
      </w:r>
      <w:r w:rsidRPr="008D220A">
        <w:rPr>
          <w:rStyle w:val="Calibri115pt0pt"/>
          <w:rFonts w:ascii="Arial" w:hAnsi="Arial" w:cs="Arial"/>
          <w:b w:val="0"/>
          <w:color w:val="auto"/>
          <w:sz w:val="24"/>
          <w:szCs w:val="24"/>
        </w:rPr>
        <w:t xml:space="preserve">to biomass </w:t>
      </w:r>
      <w:r w:rsidR="00484F27" w:rsidRPr="008D220A">
        <w:rPr>
          <w:rStyle w:val="Calibri115pt0pt"/>
          <w:rFonts w:ascii="Arial" w:hAnsi="Arial" w:cs="Arial"/>
          <w:b w:val="0"/>
          <w:color w:val="auto"/>
          <w:sz w:val="24"/>
          <w:szCs w:val="24"/>
        </w:rPr>
        <w:t xml:space="preserve">projects </w:t>
      </w:r>
      <w:r w:rsidRPr="008D220A">
        <w:rPr>
          <w:rStyle w:val="Calibri115pt0pt"/>
          <w:rFonts w:ascii="Arial" w:hAnsi="Arial" w:cs="Arial"/>
          <w:b w:val="0"/>
          <w:color w:val="auto"/>
          <w:sz w:val="24"/>
          <w:szCs w:val="24"/>
        </w:rPr>
        <w:t>was compiled, including m</w:t>
      </w:r>
      <w:r w:rsidR="00484F27" w:rsidRPr="008D220A">
        <w:rPr>
          <w:rStyle w:val="Calibri115pt0pt"/>
          <w:rFonts w:ascii="Arial" w:hAnsi="Arial" w:cs="Arial"/>
          <w:b w:val="0"/>
          <w:color w:val="auto"/>
          <w:sz w:val="24"/>
          <w:szCs w:val="24"/>
        </w:rPr>
        <w:t>ethodology to estimate baseline GHG emissions</w:t>
      </w:r>
      <w:r w:rsidRPr="008D220A">
        <w:rPr>
          <w:rStyle w:val="Calibri115pt0pt"/>
          <w:rFonts w:ascii="Arial" w:hAnsi="Arial" w:cs="Arial"/>
          <w:b w:val="0"/>
          <w:color w:val="auto"/>
          <w:sz w:val="24"/>
          <w:szCs w:val="24"/>
        </w:rPr>
        <w:t>, m</w:t>
      </w:r>
      <w:r w:rsidR="00484F27" w:rsidRPr="008D220A">
        <w:rPr>
          <w:rStyle w:val="Calibri115pt0pt"/>
          <w:rFonts w:ascii="Arial" w:hAnsi="Arial" w:cs="Arial"/>
          <w:b w:val="0"/>
          <w:color w:val="auto"/>
          <w:sz w:val="24"/>
          <w:szCs w:val="24"/>
        </w:rPr>
        <w:t>ethodology to estimate project GHG emissions</w:t>
      </w:r>
      <w:r w:rsidRPr="008D220A">
        <w:rPr>
          <w:rStyle w:val="Calibri115pt0pt"/>
          <w:rFonts w:ascii="Arial" w:hAnsi="Arial" w:cs="Arial"/>
          <w:b w:val="0"/>
          <w:color w:val="auto"/>
          <w:sz w:val="24"/>
          <w:szCs w:val="24"/>
        </w:rPr>
        <w:t>, e</w:t>
      </w:r>
      <w:r w:rsidR="00484F27" w:rsidRPr="008D220A">
        <w:rPr>
          <w:rStyle w:val="Calibri115pt0pt"/>
          <w:rFonts w:ascii="Arial" w:hAnsi="Arial" w:cs="Arial"/>
          <w:b w:val="0"/>
          <w:color w:val="auto"/>
          <w:sz w:val="24"/>
          <w:szCs w:val="24"/>
        </w:rPr>
        <w:t>mission reductions</w:t>
      </w:r>
      <w:r w:rsidRPr="008D220A">
        <w:rPr>
          <w:rStyle w:val="Calibri115pt0pt"/>
          <w:rFonts w:ascii="Arial" w:hAnsi="Arial" w:cs="Arial"/>
          <w:b w:val="0"/>
          <w:color w:val="auto"/>
          <w:sz w:val="24"/>
          <w:szCs w:val="24"/>
        </w:rPr>
        <w:t xml:space="preserve"> and monitoring methodology.</w:t>
      </w:r>
    </w:p>
    <w:p w14:paraId="0B900357" w14:textId="580DEF00" w:rsidR="00D440D9" w:rsidRPr="008D220A" w:rsidRDefault="00E2152E" w:rsidP="00262A1A">
      <w:pPr>
        <w:pStyle w:val="2"/>
        <w:jc w:val="both"/>
        <w:rPr>
          <w:lang w:val="en-US"/>
        </w:rPr>
      </w:pPr>
      <w:bookmarkStart w:id="24" w:name="_Toc376123029"/>
      <w:r w:rsidRPr="008D220A">
        <w:rPr>
          <w:lang w:val="en-US"/>
        </w:rPr>
        <w:t xml:space="preserve">3.3. </w:t>
      </w:r>
      <w:r w:rsidR="00657E92" w:rsidRPr="008D220A">
        <w:rPr>
          <w:lang w:val="en-US"/>
        </w:rPr>
        <w:t xml:space="preserve">Establishment </w:t>
      </w:r>
      <w:r w:rsidR="00325D3C" w:rsidRPr="008D220A">
        <w:rPr>
          <w:lang w:val="en-US"/>
        </w:rPr>
        <w:t xml:space="preserve">of </w:t>
      </w:r>
      <w:r w:rsidR="003C0E71" w:rsidRPr="008D220A">
        <w:rPr>
          <w:lang w:val="en-US"/>
        </w:rPr>
        <w:t>the</w:t>
      </w:r>
      <w:r w:rsidR="00911646" w:rsidRPr="008D220A">
        <w:rPr>
          <w:lang w:val="en-US"/>
        </w:rPr>
        <w:t xml:space="preserve"> </w:t>
      </w:r>
      <w:r w:rsidR="00D757AA" w:rsidRPr="008D220A">
        <w:rPr>
          <w:lang w:val="en-US"/>
        </w:rPr>
        <w:t>Financial Support Mechanism</w:t>
      </w:r>
      <w:bookmarkEnd w:id="24"/>
      <w:r w:rsidR="00D757AA" w:rsidRPr="008D220A">
        <w:rPr>
          <w:lang w:val="en-US"/>
        </w:rPr>
        <w:t xml:space="preserve"> </w:t>
      </w:r>
    </w:p>
    <w:p w14:paraId="2EDCD548" w14:textId="77777777" w:rsidR="00262A1A" w:rsidRPr="008D220A" w:rsidRDefault="00262A1A" w:rsidP="00262A1A">
      <w:pPr>
        <w:rPr>
          <w:lang w:val="en-US"/>
        </w:rPr>
      </w:pPr>
    </w:p>
    <w:p w14:paraId="32DC309D" w14:textId="640AB7EB" w:rsidR="00922038" w:rsidRPr="008D220A" w:rsidRDefault="00922038" w:rsidP="00262A1A">
      <w:pPr>
        <w:rPr>
          <w:rFonts w:ascii="Arial" w:hAnsi="Arial" w:cs="Arial"/>
          <w:b/>
          <w:sz w:val="24"/>
          <w:szCs w:val="24"/>
          <w:lang w:val="en-US"/>
        </w:rPr>
      </w:pPr>
      <w:r w:rsidRPr="008D220A">
        <w:rPr>
          <w:rFonts w:ascii="Arial" w:hAnsi="Arial" w:cs="Arial"/>
          <w:b/>
          <w:sz w:val="24"/>
          <w:szCs w:val="24"/>
          <w:lang w:val="en-US"/>
        </w:rPr>
        <w:t xml:space="preserve">Establishment of </w:t>
      </w:r>
      <w:r w:rsidR="003C0E71" w:rsidRPr="008D220A">
        <w:rPr>
          <w:rFonts w:ascii="Arial" w:hAnsi="Arial" w:cs="Arial"/>
          <w:b/>
          <w:sz w:val="24"/>
          <w:szCs w:val="24"/>
          <w:lang w:val="en-US"/>
        </w:rPr>
        <w:t>the</w:t>
      </w:r>
      <w:r w:rsidRPr="008D220A">
        <w:rPr>
          <w:rFonts w:ascii="Arial" w:hAnsi="Arial" w:cs="Arial"/>
          <w:b/>
          <w:sz w:val="24"/>
          <w:szCs w:val="24"/>
          <w:lang w:val="en-US"/>
        </w:rPr>
        <w:t xml:space="preserve"> Financial Support Mechanism</w:t>
      </w:r>
    </w:p>
    <w:p w14:paraId="5608897D" w14:textId="0E841131" w:rsidR="00AF097A" w:rsidRPr="008D220A" w:rsidRDefault="00331A9B" w:rsidP="00B273C4">
      <w:pPr>
        <w:jc w:val="both"/>
        <w:rPr>
          <w:rFonts w:ascii="Arial" w:hAnsi="Arial" w:cs="Arial"/>
          <w:sz w:val="24"/>
          <w:szCs w:val="24"/>
        </w:rPr>
      </w:pPr>
      <w:r w:rsidRPr="008D220A">
        <w:rPr>
          <w:rFonts w:ascii="Arial" w:hAnsi="Arial" w:cs="Arial"/>
          <w:sz w:val="24"/>
          <w:szCs w:val="24"/>
        </w:rPr>
        <w:t xml:space="preserve">The overall aim of the Financial Support Mechanism is the development of a standardized financial product that banks can use to finance </w:t>
      </w:r>
      <w:r w:rsidR="00B273C4" w:rsidRPr="008D220A">
        <w:rPr>
          <w:rFonts w:ascii="Arial" w:hAnsi="Arial" w:cs="Arial"/>
          <w:sz w:val="24"/>
          <w:szCs w:val="24"/>
        </w:rPr>
        <w:t>a range of projects including the collection and processing of biomass into fuel, the transport and distribution of biomass fuels, the installation and operation of biomass boilers for the provision of heat to municipalities</w:t>
      </w:r>
      <w:r w:rsidR="00CA5F9C" w:rsidRPr="008D220A">
        <w:rPr>
          <w:rFonts w:ascii="Arial" w:hAnsi="Arial" w:cs="Arial"/>
          <w:sz w:val="24"/>
          <w:szCs w:val="24"/>
        </w:rPr>
        <w:t xml:space="preserve">. It is important to note that this FSM will also be applied to financing energy efficiency projects in public buildings, as many of the parameters are the same as for biomass projects. </w:t>
      </w:r>
      <w:r w:rsidR="00AF097A" w:rsidRPr="008D220A">
        <w:rPr>
          <w:rFonts w:ascii="Arial" w:hAnsi="Arial" w:cs="Arial"/>
          <w:sz w:val="24"/>
          <w:szCs w:val="24"/>
        </w:rPr>
        <w:t xml:space="preserve">Additionally </w:t>
      </w:r>
      <w:r w:rsidR="00C45142" w:rsidRPr="008D220A">
        <w:rPr>
          <w:rFonts w:ascii="Arial" w:hAnsi="Arial" w:cs="Arial"/>
          <w:sz w:val="24"/>
          <w:szCs w:val="24"/>
        </w:rPr>
        <w:t>the FSM</w:t>
      </w:r>
      <w:r w:rsidR="00AF097A" w:rsidRPr="008D220A">
        <w:rPr>
          <w:rFonts w:ascii="Arial" w:hAnsi="Arial" w:cs="Arial"/>
          <w:sz w:val="24"/>
          <w:szCs w:val="24"/>
        </w:rPr>
        <w:t xml:space="preserve"> is to facilitate the eventual attraction of financial resources to be applied to the financial product further driving its implementation.</w:t>
      </w:r>
    </w:p>
    <w:p w14:paraId="6FC8729B" w14:textId="77777777" w:rsidR="00AF097A" w:rsidRPr="008D220A" w:rsidRDefault="00AF097A" w:rsidP="00AF097A">
      <w:pPr>
        <w:jc w:val="both"/>
        <w:rPr>
          <w:rFonts w:ascii="Arial" w:hAnsi="Arial" w:cs="Arial"/>
          <w:sz w:val="24"/>
          <w:szCs w:val="24"/>
        </w:rPr>
      </w:pPr>
    </w:p>
    <w:p w14:paraId="24C1DABD" w14:textId="5F52B799" w:rsidR="00AF097A" w:rsidRPr="008D220A" w:rsidRDefault="00AF097A" w:rsidP="00AF097A">
      <w:pPr>
        <w:jc w:val="both"/>
        <w:rPr>
          <w:rFonts w:ascii="Arial" w:hAnsi="Arial" w:cs="Arial"/>
          <w:sz w:val="24"/>
          <w:szCs w:val="24"/>
          <w:lang w:val="en-US"/>
        </w:rPr>
      </w:pPr>
      <w:r w:rsidRPr="008D220A">
        <w:rPr>
          <w:rFonts w:ascii="Arial" w:hAnsi="Arial" w:cs="Arial"/>
          <w:sz w:val="24"/>
          <w:szCs w:val="24"/>
          <w:lang w:val="en-US"/>
        </w:rPr>
        <w:t xml:space="preserve">Over the past year the positive changes have taken place in Ukraine, creating preconditions for the success of the </w:t>
      </w:r>
      <w:r w:rsidR="00C45142" w:rsidRPr="008D220A">
        <w:rPr>
          <w:rFonts w:ascii="Arial" w:hAnsi="Arial" w:cs="Arial"/>
          <w:sz w:val="24"/>
          <w:szCs w:val="24"/>
          <w:lang w:val="en-US"/>
        </w:rPr>
        <w:t>FSM</w:t>
      </w:r>
      <w:r w:rsidRPr="008D220A">
        <w:rPr>
          <w:rFonts w:ascii="Arial" w:hAnsi="Arial" w:cs="Arial"/>
          <w:sz w:val="24"/>
          <w:szCs w:val="24"/>
          <w:lang w:val="en-US"/>
        </w:rPr>
        <w:t xml:space="preserve">, in particular: </w:t>
      </w:r>
    </w:p>
    <w:p w14:paraId="3BF14313" w14:textId="77777777" w:rsidR="00AF097A" w:rsidRPr="008D220A" w:rsidRDefault="00AF097A" w:rsidP="006C4106">
      <w:pPr>
        <w:jc w:val="both"/>
        <w:rPr>
          <w:rFonts w:ascii="Arial" w:hAnsi="Arial" w:cs="Arial"/>
          <w:sz w:val="24"/>
          <w:szCs w:val="24"/>
          <w:lang w:val="en-US"/>
        </w:rPr>
      </w:pPr>
      <w:r w:rsidRPr="008D220A">
        <w:rPr>
          <w:rFonts w:ascii="Arial" w:hAnsi="Arial" w:cs="Arial"/>
          <w:sz w:val="24"/>
          <w:szCs w:val="24"/>
          <w:lang w:val="en-US"/>
        </w:rPr>
        <w:t>- Reduced cost of capital. The refinancing rate set by the National bank of Ukraine has dropped more than twice - from 30% in April 2015 to 12.5% in May 2017, and further decline is expected.</w:t>
      </w:r>
    </w:p>
    <w:p w14:paraId="31A71582" w14:textId="77777777" w:rsidR="00AF097A" w:rsidRPr="008D220A" w:rsidRDefault="00AF097A" w:rsidP="006C4106">
      <w:pPr>
        <w:jc w:val="both"/>
        <w:rPr>
          <w:rFonts w:ascii="Arial" w:hAnsi="Arial" w:cs="Arial"/>
          <w:sz w:val="24"/>
          <w:szCs w:val="24"/>
          <w:lang w:val="en-US"/>
        </w:rPr>
      </w:pPr>
      <w:r w:rsidRPr="008D220A">
        <w:rPr>
          <w:rFonts w:ascii="Arial" w:hAnsi="Arial" w:cs="Arial"/>
          <w:sz w:val="24"/>
          <w:szCs w:val="24"/>
          <w:lang w:val="en-US"/>
        </w:rPr>
        <w:t xml:space="preserve">- Active implementation of the financial decentralization reform, which has significantly improved the resource potential of municipalities. Compared to 2015, in 2016 revenues of municipalities increased by 49% and are expected to further increase by 16% in 2017. </w:t>
      </w:r>
    </w:p>
    <w:p w14:paraId="71F0DB63" w14:textId="77777777" w:rsidR="00AF097A" w:rsidRPr="008D220A" w:rsidRDefault="00AF097A" w:rsidP="006C4106">
      <w:pPr>
        <w:jc w:val="both"/>
        <w:rPr>
          <w:rFonts w:ascii="Arial" w:hAnsi="Arial" w:cs="Arial"/>
          <w:sz w:val="24"/>
          <w:szCs w:val="24"/>
          <w:lang w:val="en-US"/>
        </w:rPr>
      </w:pPr>
      <w:r w:rsidRPr="008D220A">
        <w:rPr>
          <w:rFonts w:ascii="Arial" w:hAnsi="Arial" w:cs="Arial"/>
          <w:sz w:val="24"/>
          <w:szCs w:val="24"/>
          <w:lang w:val="en-US"/>
        </w:rPr>
        <w:t>- Improved regulatory framework now simplifies and accelerates the approval of municipal loans.</w:t>
      </w:r>
    </w:p>
    <w:p w14:paraId="401D69E3" w14:textId="77777777" w:rsidR="00AF097A" w:rsidRPr="008D220A" w:rsidRDefault="00AF097A" w:rsidP="006C4106">
      <w:pPr>
        <w:jc w:val="both"/>
        <w:rPr>
          <w:rFonts w:ascii="Arial" w:hAnsi="Arial" w:cs="Arial"/>
          <w:sz w:val="24"/>
          <w:szCs w:val="24"/>
          <w:lang w:val="en-US"/>
        </w:rPr>
      </w:pPr>
      <w:r w:rsidRPr="008D220A">
        <w:rPr>
          <w:rFonts w:ascii="Arial" w:hAnsi="Arial" w:cs="Arial"/>
          <w:sz w:val="24"/>
          <w:szCs w:val="24"/>
          <w:lang w:val="en-US"/>
        </w:rPr>
        <w:t>- Significant technical support from donors has contributed to the improved municipal management practices.</w:t>
      </w:r>
    </w:p>
    <w:p w14:paraId="77E19945" w14:textId="7F23A8FC" w:rsidR="00AF097A" w:rsidRPr="008D220A" w:rsidRDefault="00AF097A" w:rsidP="00AF097A">
      <w:pPr>
        <w:jc w:val="both"/>
        <w:rPr>
          <w:rFonts w:ascii="Arial" w:hAnsi="Arial" w:cs="Arial"/>
          <w:sz w:val="24"/>
          <w:szCs w:val="24"/>
          <w:lang w:val="en-US"/>
        </w:rPr>
      </w:pPr>
      <w:r w:rsidRPr="008D220A">
        <w:rPr>
          <w:rFonts w:ascii="Arial" w:hAnsi="Arial" w:cs="Arial"/>
          <w:sz w:val="24"/>
          <w:szCs w:val="24"/>
          <w:lang w:val="en-US"/>
        </w:rPr>
        <w:t>Ultimately, municipalities are ready to invest in municipal biomass projects for heat and hot water supply.</w:t>
      </w:r>
    </w:p>
    <w:p w14:paraId="092FA7B5" w14:textId="77777777" w:rsidR="00B273C4" w:rsidRPr="008D220A" w:rsidRDefault="00B273C4" w:rsidP="00B273C4">
      <w:pPr>
        <w:jc w:val="both"/>
        <w:rPr>
          <w:rFonts w:ascii="Arial" w:hAnsi="Arial" w:cs="Arial"/>
          <w:sz w:val="24"/>
          <w:szCs w:val="24"/>
        </w:rPr>
      </w:pPr>
    </w:p>
    <w:p w14:paraId="35CC5D4C" w14:textId="77777777" w:rsidR="00B273C4" w:rsidRPr="008D220A" w:rsidRDefault="00B273C4" w:rsidP="00B273C4">
      <w:pPr>
        <w:jc w:val="both"/>
        <w:rPr>
          <w:rFonts w:ascii="Arial" w:hAnsi="Arial" w:cs="Arial"/>
          <w:sz w:val="24"/>
          <w:szCs w:val="24"/>
        </w:rPr>
      </w:pPr>
      <w:r w:rsidRPr="008D220A">
        <w:rPr>
          <w:rFonts w:ascii="Arial" w:hAnsi="Arial" w:cs="Arial"/>
          <w:sz w:val="24"/>
          <w:szCs w:val="24"/>
        </w:rPr>
        <w:t xml:space="preserve">The design of the FSM as it is currently being implemented is based on the findings from preparatory part of the project that resulted in the aim to develop a commercial financial support mechanism rather than one based on grants or other forms of subsidised lending. </w:t>
      </w:r>
    </w:p>
    <w:p w14:paraId="5E2024C2" w14:textId="77777777" w:rsidR="00B273C4" w:rsidRPr="008D220A" w:rsidRDefault="00B273C4" w:rsidP="00B273C4">
      <w:pPr>
        <w:jc w:val="both"/>
        <w:rPr>
          <w:rFonts w:ascii="Arial" w:hAnsi="Arial" w:cs="Arial"/>
          <w:sz w:val="24"/>
          <w:szCs w:val="24"/>
        </w:rPr>
      </w:pPr>
    </w:p>
    <w:p w14:paraId="0C9F80E2" w14:textId="7B944C6E" w:rsidR="00B273C4" w:rsidRPr="008D220A" w:rsidRDefault="00B273C4" w:rsidP="00B273C4">
      <w:pPr>
        <w:jc w:val="both"/>
        <w:rPr>
          <w:rFonts w:ascii="Arial" w:hAnsi="Arial" w:cs="Arial"/>
          <w:sz w:val="24"/>
          <w:szCs w:val="24"/>
        </w:rPr>
      </w:pPr>
      <w:r w:rsidRPr="008D220A">
        <w:rPr>
          <w:rFonts w:ascii="Arial" w:hAnsi="Arial" w:cs="Arial"/>
          <w:sz w:val="24"/>
          <w:szCs w:val="24"/>
        </w:rPr>
        <w:t xml:space="preserve">The key result of the FSM </w:t>
      </w:r>
      <w:r w:rsidR="00CA5F9C" w:rsidRPr="008D220A">
        <w:rPr>
          <w:rFonts w:ascii="Arial" w:hAnsi="Arial" w:cs="Arial"/>
          <w:sz w:val="24"/>
          <w:szCs w:val="24"/>
        </w:rPr>
        <w:t>is</w:t>
      </w:r>
      <w:r w:rsidRPr="008D220A">
        <w:rPr>
          <w:rFonts w:ascii="Arial" w:hAnsi="Arial" w:cs="Arial"/>
          <w:sz w:val="24"/>
          <w:szCs w:val="24"/>
        </w:rPr>
        <w:t xml:space="preserve"> the creation and launching of a financial product (</w:t>
      </w:r>
      <w:r w:rsidR="0028371C" w:rsidRPr="008D220A">
        <w:rPr>
          <w:rFonts w:ascii="Arial" w:hAnsi="Arial" w:cs="Arial"/>
          <w:sz w:val="24"/>
          <w:szCs w:val="24"/>
        </w:rPr>
        <w:t xml:space="preserve">which is </w:t>
      </w:r>
      <w:r w:rsidR="00E6734F" w:rsidRPr="008D220A">
        <w:rPr>
          <w:rFonts w:ascii="Arial" w:hAnsi="Arial" w:cs="Arial"/>
          <w:sz w:val="24"/>
          <w:szCs w:val="24"/>
        </w:rPr>
        <w:t>pre-finalized as</w:t>
      </w:r>
      <w:r w:rsidR="0028371C" w:rsidRPr="008D220A">
        <w:rPr>
          <w:rFonts w:ascii="Arial" w:hAnsi="Arial" w:cs="Arial"/>
          <w:sz w:val="24"/>
          <w:szCs w:val="24"/>
        </w:rPr>
        <w:t xml:space="preserve"> of the end 2017</w:t>
      </w:r>
      <w:r w:rsidRPr="008D220A">
        <w:rPr>
          <w:rFonts w:ascii="Arial" w:hAnsi="Arial" w:cs="Arial"/>
          <w:sz w:val="24"/>
          <w:szCs w:val="24"/>
        </w:rPr>
        <w:t xml:space="preserve">), whereby the partner bank(s) will be in a position to finance the types of projects being supported by this project. This financial product is developed in conjunction with the IFC </w:t>
      </w:r>
      <w:r w:rsidR="00AF097A" w:rsidRPr="008D220A">
        <w:rPr>
          <w:rFonts w:ascii="Arial" w:hAnsi="Arial" w:cs="Arial"/>
          <w:sz w:val="24"/>
          <w:szCs w:val="24"/>
        </w:rPr>
        <w:t xml:space="preserve">(according to the Agreement signed in December 2016) </w:t>
      </w:r>
      <w:r w:rsidRPr="008D220A">
        <w:rPr>
          <w:rFonts w:ascii="Arial" w:hAnsi="Arial" w:cs="Arial"/>
          <w:sz w:val="24"/>
          <w:szCs w:val="24"/>
        </w:rPr>
        <w:t>and the Partner Bank</w:t>
      </w:r>
      <w:r w:rsidR="00AF097A" w:rsidRPr="008D220A">
        <w:rPr>
          <w:rFonts w:ascii="Arial" w:hAnsi="Arial" w:cs="Arial"/>
          <w:sz w:val="24"/>
          <w:szCs w:val="24"/>
        </w:rPr>
        <w:t>(</w:t>
      </w:r>
      <w:r w:rsidRPr="008D220A">
        <w:rPr>
          <w:rFonts w:ascii="Arial" w:hAnsi="Arial" w:cs="Arial"/>
          <w:sz w:val="24"/>
          <w:szCs w:val="24"/>
        </w:rPr>
        <w:t>s</w:t>
      </w:r>
      <w:r w:rsidR="00AF097A" w:rsidRPr="008D220A">
        <w:rPr>
          <w:rFonts w:ascii="Arial" w:hAnsi="Arial" w:cs="Arial"/>
          <w:sz w:val="24"/>
          <w:szCs w:val="24"/>
        </w:rPr>
        <w:t>)</w:t>
      </w:r>
      <w:r w:rsidRPr="008D220A">
        <w:rPr>
          <w:rFonts w:ascii="Arial" w:hAnsi="Arial" w:cs="Arial"/>
          <w:sz w:val="24"/>
          <w:szCs w:val="24"/>
        </w:rPr>
        <w:t xml:space="preserve"> (initially Oshchadbank) and include legal, financial and technical aspects.</w:t>
      </w:r>
    </w:p>
    <w:p w14:paraId="2DBCF128" w14:textId="447C5EB4" w:rsidR="00062818" w:rsidRPr="008D220A" w:rsidRDefault="00062818" w:rsidP="00B273C4">
      <w:pPr>
        <w:jc w:val="both"/>
        <w:rPr>
          <w:rFonts w:ascii="Arial" w:hAnsi="Arial" w:cs="Arial"/>
          <w:sz w:val="24"/>
          <w:szCs w:val="24"/>
        </w:rPr>
      </w:pPr>
      <w:r w:rsidRPr="008D220A">
        <w:rPr>
          <w:noProof/>
          <w:lang w:val="en-US"/>
        </w:rPr>
        <w:lastRenderedPageBreak/>
        <w:drawing>
          <wp:inline distT="0" distB="0" distL="0" distR="0" wp14:anchorId="7249EAB1" wp14:editId="18BD7733">
            <wp:extent cx="5486400" cy="2945642"/>
            <wp:effectExtent l="25400" t="0" r="0" b="0"/>
            <wp:docPr id="4" name="Picture 0" descr="FSM Struc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 Structure.pdf"/>
                    <pic:cNvPicPr/>
                  </pic:nvPicPr>
                  <pic:blipFill>
                    <a:blip r:embed="rId24"/>
                    <a:srcRect l="10941" t="14292" r="11783" b="26203"/>
                    <a:stretch>
                      <a:fillRect/>
                    </a:stretch>
                  </pic:blipFill>
                  <pic:spPr>
                    <a:xfrm>
                      <a:off x="0" y="0"/>
                      <a:ext cx="5486400" cy="2945642"/>
                    </a:xfrm>
                    <a:prstGeom prst="rect">
                      <a:avLst/>
                    </a:prstGeom>
                  </pic:spPr>
                </pic:pic>
              </a:graphicData>
            </a:graphic>
          </wp:inline>
        </w:drawing>
      </w:r>
    </w:p>
    <w:p w14:paraId="49063C55" w14:textId="77777777" w:rsidR="006C4106" w:rsidRPr="008D220A" w:rsidRDefault="006C4106" w:rsidP="006C4106">
      <w:pPr>
        <w:jc w:val="both"/>
        <w:rPr>
          <w:rFonts w:ascii="Arial" w:hAnsi="Arial" w:cs="Arial"/>
          <w:sz w:val="24"/>
          <w:szCs w:val="24"/>
        </w:rPr>
      </w:pPr>
    </w:p>
    <w:p w14:paraId="16404EDA" w14:textId="0AB76C49" w:rsidR="006C4106" w:rsidRPr="008D220A" w:rsidRDefault="006C4106" w:rsidP="00CA5F9C">
      <w:pPr>
        <w:jc w:val="both"/>
        <w:rPr>
          <w:rFonts w:ascii="Arial" w:hAnsi="Arial" w:cs="Arial"/>
          <w:sz w:val="24"/>
          <w:szCs w:val="24"/>
        </w:rPr>
      </w:pPr>
      <w:r w:rsidRPr="008D220A">
        <w:rPr>
          <w:rFonts w:ascii="Arial" w:hAnsi="Arial" w:cs="Arial"/>
          <w:sz w:val="24"/>
          <w:szCs w:val="24"/>
        </w:rPr>
        <w:t xml:space="preserve">The role of the IFC is implementer of the FSM. Additionally, at a later stage the IFC may assist with the provision of additional funds to the FSM via their own resources or those of other financial institutions. </w:t>
      </w:r>
    </w:p>
    <w:p w14:paraId="6671B623" w14:textId="77777777" w:rsidR="00CA5F9C" w:rsidRPr="008D220A" w:rsidRDefault="00CA5F9C" w:rsidP="00CA5F9C">
      <w:pPr>
        <w:jc w:val="both"/>
        <w:rPr>
          <w:rFonts w:ascii="Arial" w:hAnsi="Arial" w:cs="Arial"/>
          <w:sz w:val="24"/>
          <w:szCs w:val="24"/>
        </w:rPr>
      </w:pPr>
    </w:p>
    <w:p w14:paraId="7EB58E88" w14:textId="77777777" w:rsidR="00152230" w:rsidRPr="008D220A" w:rsidRDefault="00CA5F9C" w:rsidP="00CA5F9C">
      <w:pPr>
        <w:jc w:val="both"/>
        <w:rPr>
          <w:rFonts w:ascii="Arial" w:hAnsi="Arial" w:cs="Arial"/>
          <w:sz w:val="24"/>
          <w:szCs w:val="24"/>
        </w:rPr>
      </w:pPr>
      <w:r w:rsidRPr="008D220A">
        <w:rPr>
          <w:rFonts w:ascii="Arial" w:hAnsi="Arial" w:cs="Arial"/>
          <w:sz w:val="24"/>
          <w:szCs w:val="24"/>
        </w:rPr>
        <w:t>The Financial Product will conform to all of the internal procedures and requirements of the partner banks and will be promoted by them (and the UNDP) in the market. Once finalized and ready for launching the financial product will be presented to relevant staff at the partner bank(s) via a training program. The partner bank(s) will initially fund the projects from their own financial resources, and once the financial product is operational additional funding to support the roll out of the financial product may be sought from other sources.</w:t>
      </w:r>
      <w:r w:rsidR="00152230" w:rsidRPr="008D220A">
        <w:rPr>
          <w:rFonts w:ascii="Arial" w:hAnsi="Arial" w:cs="Arial"/>
          <w:sz w:val="24"/>
          <w:szCs w:val="24"/>
        </w:rPr>
        <w:t xml:space="preserve"> </w:t>
      </w:r>
    </w:p>
    <w:p w14:paraId="46B3D420" w14:textId="77777777" w:rsidR="00374BEC" w:rsidRPr="008D220A" w:rsidRDefault="00374BEC" w:rsidP="00374BEC">
      <w:pPr>
        <w:jc w:val="both"/>
        <w:rPr>
          <w:b/>
        </w:rPr>
      </w:pPr>
    </w:p>
    <w:p w14:paraId="41F238E8" w14:textId="68CF8B2C" w:rsidR="00374BEC" w:rsidRPr="008D220A" w:rsidRDefault="00374BEC" w:rsidP="00374BEC">
      <w:pPr>
        <w:jc w:val="both"/>
        <w:rPr>
          <w:rFonts w:ascii="Arial" w:hAnsi="Arial" w:cs="Arial"/>
          <w:b/>
          <w:sz w:val="24"/>
          <w:szCs w:val="24"/>
        </w:rPr>
      </w:pPr>
      <w:r w:rsidRPr="008D220A">
        <w:rPr>
          <w:rFonts w:ascii="Arial" w:hAnsi="Arial" w:cs="Arial"/>
          <w:b/>
          <w:sz w:val="24"/>
          <w:szCs w:val="24"/>
        </w:rPr>
        <w:t>The Financial support mechanism also includes</w:t>
      </w:r>
      <w:r w:rsidR="00A96AFD" w:rsidRPr="008D220A">
        <w:rPr>
          <w:rFonts w:ascii="Arial" w:hAnsi="Arial" w:cs="Arial"/>
          <w:b/>
          <w:sz w:val="24"/>
          <w:szCs w:val="24"/>
        </w:rPr>
        <w:t xml:space="preserve"> the following materials developed by the IFC:</w:t>
      </w:r>
      <w:r w:rsidRPr="008D220A">
        <w:rPr>
          <w:rFonts w:ascii="Arial" w:hAnsi="Arial" w:cs="Arial"/>
          <w:b/>
          <w:sz w:val="24"/>
          <w:szCs w:val="24"/>
        </w:rPr>
        <w:t xml:space="preserve"> </w:t>
      </w:r>
    </w:p>
    <w:p w14:paraId="047DFCB8" w14:textId="77777777" w:rsidR="00374BEC" w:rsidRPr="008D220A" w:rsidRDefault="00374BEC" w:rsidP="00374BEC">
      <w:pPr>
        <w:pStyle w:val="af6"/>
        <w:numPr>
          <w:ilvl w:val="0"/>
          <w:numId w:val="9"/>
        </w:numPr>
        <w:spacing w:after="0" w:line="240" w:lineRule="auto"/>
        <w:jc w:val="both"/>
        <w:rPr>
          <w:rFonts w:ascii="Arial" w:hAnsi="Arial" w:cs="Arial"/>
          <w:b/>
          <w:sz w:val="24"/>
          <w:szCs w:val="24"/>
        </w:rPr>
      </w:pPr>
      <w:r w:rsidRPr="008D220A">
        <w:rPr>
          <w:rFonts w:ascii="Arial" w:hAnsi="Arial" w:cs="Arial"/>
          <w:b/>
          <w:sz w:val="24"/>
          <w:szCs w:val="24"/>
        </w:rPr>
        <w:t>A Municipal Lending Overview: international experience and recommendations;</w:t>
      </w:r>
    </w:p>
    <w:p w14:paraId="7054C98D" w14:textId="77777777" w:rsidR="00374BEC" w:rsidRPr="008D220A" w:rsidRDefault="00374BEC" w:rsidP="00374BEC">
      <w:pPr>
        <w:pStyle w:val="af6"/>
        <w:numPr>
          <w:ilvl w:val="0"/>
          <w:numId w:val="9"/>
        </w:numPr>
        <w:spacing w:after="0" w:line="240" w:lineRule="auto"/>
        <w:jc w:val="both"/>
        <w:rPr>
          <w:rFonts w:ascii="Arial" w:hAnsi="Arial" w:cs="Arial"/>
          <w:b/>
          <w:sz w:val="24"/>
          <w:szCs w:val="24"/>
        </w:rPr>
      </w:pPr>
      <w:r w:rsidRPr="008D220A">
        <w:rPr>
          <w:rFonts w:ascii="Arial" w:hAnsi="Arial" w:cs="Arial"/>
          <w:b/>
          <w:sz w:val="24"/>
          <w:szCs w:val="24"/>
        </w:rPr>
        <w:t xml:space="preserve">Financing SMEs in biomass energy sector overview; and </w:t>
      </w:r>
    </w:p>
    <w:p w14:paraId="5CCD102B" w14:textId="2D0E5FA5" w:rsidR="00374BEC" w:rsidRPr="008D220A" w:rsidRDefault="00374BEC" w:rsidP="00A96AFD">
      <w:pPr>
        <w:pStyle w:val="af6"/>
        <w:numPr>
          <w:ilvl w:val="0"/>
          <w:numId w:val="9"/>
        </w:numPr>
        <w:spacing w:after="0" w:line="240" w:lineRule="auto"/>
        <w:jc w:val="both"/>
        <w:rPr>
          <w:rFonts w:ascii="Arial" w:hAnsi="Arial" w:cs="Arial"/>
          <w:b/>
          <w:sz w:val="24"/>
          <w:szCs w:val="24"/>
        </w:rPr>
      </w:pPr>
      <w:r w:rsidRPr="008D220A">
        <w:rPr>
          <w:rFonts w:ascii="Arial" w:eastAsia="Times New Roman" w:hAnsi="Arial" w:cs="Arial"/>
          <w:b/>
          <w:sz w:val="24"/>
          <w:szCs w:val="24"/>
          <w:lang w:eastAsia="ru-RU"/>
        </w:rPr>
        <w:t>A Handbook on Municipal Lending for Financing EE and Renewable Projects</w:t>
      </w:r>
      <w:r w:rsidR="00A96AFD" w:rsidRPr="008D220A">
        <w:rPr>
          <w:rFonts w:ascii="Arial" w:eastAsia="Times New Roman" w:hAnsi="Arial" w:cs="Arial"/>
          <w:b/>
          <w:sz w:val="24"/>
          <w:szCs w:val="24"/>
          <w:lang w:eastAsia="ru-RU"/>
        </w:rPr>
        <w:t>.</w:t>
      </w:r>
    </w:p>
    <w:p w14:paraId="4DA6ECE1" w14:textId="77777777" w:rsidR="005B6AD5" w:rsidRPr="008D220A" w:rsidRDefault="005B6AD5" w:rsidP="00CA5F9C">
      <w:pPr>
        <w:jc w:val="both"/>
        <w:rPr>
          <w:rFonts w:ascii="Arial" w:hAnsi="Arial" w:cs="Arial"/>
          <w:b/>
          <w:sz w:val="24"/>
          <w:szCs w:val="24"/>
        </w:rPr>
      </w:pPr>
    </w:p>
    <w:p w14:paraId="610DC1D5" w14:textId="39C1F368" w:rsidR="00A36267" w:rsidRPr="008D220A" w:rsidRDefault="00CA5F9C" w:rsidP="00CA5F9C">
      <w:pPr>
        <w:jc w:val="both"/>
        <w:rPr>
          <w:rFonts w:ascii="Arial" w:hAnsi="Arial" w:cs="Arial"/>
          <w:sz w:val="24"/>
          <w:szCs w:val="24"/>
        </w:rPr>
      </w:pPr>
      <w:r w:rsidRPr="008D220A">
        <w:rPr>
          <w:rFonts w:ascii="Arial" w:hAnsi="Arial" w:cs="Arial"/>
          <w:b/>
          <w:sz w:val="24"/>
          <w:szCs w:val="24"/>
        </w:rPr>
        <w:t>Current Situation</w:t>
      </w:r>
      <w:r w:rsidR="00FE2B1A" w:rsidRPr="008D220A">
        <w:rPr>
          <w:rFonts w:ascii="Arial" w:hAnsi="Arial" w:cs="Arial"/>
          <w:b/>
          <w:sz w:val="24"/>
          <w:szCs w:val="24"/>
        </w:rPr>
        <w:t xml:space="preserve"> with finalization and launching of the FSM</w:t>
      </w:r>
    </w:p>
    <w:p w14:paraId="3C1C7D69" w14:textId="5C616A3E" w:rsidR="00876BA6" w:rsidRPr="008D220A" w:rsidRDefault="005A7154" w:rsidP="005A7154">
      <w:pPr>
        <w:jc w:val="both"/>
        <w:rPr>
          <w:rFonts w:ascii="Arial" w:hAnsi="Arial" w:cs="Arial"/>
          <w:sz w:val="24"/>
          <w:szCs w:val="24"/>
        </w:rPr>
      </w:pPr>
      <w:r w:rsidRPr="008D220A">
        <w:rPr>
          <w:rFonts w:ascii="Arial" w:hAnsi="Arial" w:cs="Arial"/>
          <w:sz w:val="24"/>
          <w:szCs w:val="24"/>
        </w:rPr>
        <w:t xml:space="preserve">During 2017 </w:t>
      </w:r>
      <w:r w:rsidR="00B20857" w:rsidRPr="008D220A">
        <w:rPr>
          <w:rFonts w:ascii="Arial" w:hAnsi="Arial" w:cs="Arial"/>
          <w:sz w:val="24"/>
          <w:szCs w:val="24"/>
        </w:rPr>
        <w:t>Os</w:t>
      </w:r>
      <w:r w:rsidRPr="008D220A">
        <w:rPr>
          <w:rFonts w:ascii="Arial" w:hAnsi="Arial" w:cs="Arial"/>
          <w:sz w:val="24"/>
          <w:szCs w:val="24"/>
        </w:rPr>
        <w:t>h</w:t>
      </w:r>
      <w:r w:rsidR="00B20857" w:rsidRPr="008D220A">
        <w:rPr>
          <w:rFonts w:ascii="Arial" w:hAnsi="Arial" w:cs="Arial"/>
          <w:sz w:val="24"/>
          <w:szCs w:val="24"/>
        </w:rPr>
        <w:t xml:space="preserve">chadbank has shown great willingness to develop a product together with the support of the UNDP and IFC. </w:t>
      </w:r>
      <w:r w:rsidR="00661F96" w:rsidRPr="008D220A">
        <w:rPr>
          <w:rFonts w:ascii="Arial" w:hAnsi="Arial" w:cs="Arial"/>
          <w:sz w:val="24"/>
          <w:szCs w:val="24"/>
        </w:rPr>
        <w:t>I</w:t>
      </w:r>
      <w:r w:rsidR="00B20857" w:rsidRPr="008D220A">
        <w:rPr>
          <w:rFonts w:ascii="Arial" w:hAnsi="Arial" w:cs="Arial"/>
          <w:sz w:val="24"/>
          <w:szCs w:val="24"/>
        </w:rPr>
        <w:t xml:space="preserve">t has dedicated personnel and resources to the development of the FSM. </w:t>
      </w:r>
      <w:r w:rsidR="005B6AD5" w:rsidRPr="008D220A">
        <w:rPr>
          <w:rFonts w:ascii="Arial" w:hAnsi="Arial" w:cs="Arial"/>
          <w:sz w:val="24"/>
          <w:szCs w:val="24"/>
        </w:rPr>
        <w:t>A</w:t>
      </w:r>
      <w:r w:rsidRPr="008D220A">
        <w:rPr>
          <w:rFonts w:ascii="Arial" w:hAnsi="Arial" w:cs="Arial"/>
          <w:sz w:val="24"/>
          <w:szCs w:val="24"/>
        </w:rPr>
        <w:t xml:space="preserve"> new product </w:t>
      </w:r>
      <w:r w:rsidR="005B6AD5" w:rsidRPr="008D220A">
        <w:rPr>
          <w:rFonts w:ascii="Arial" w:hAnsi="Arial" w:cs="Arial"/>
          <w:sz w:val="24"/>
          <w:szCs w:val="24"/>
        </w:rPr>
        <w:t xml:space="preserve">named </w:t>
      </w:r>
      <w:r w:rsidRPr="008D220A">
        <w:rPr>
          <w:rFonts w:ascii="Arial" w:hAnsi="Arial" w:cs="Arial"/>
          <w:sz w:val="24"/>
          <w:szCs w:val="24"/>
        </w:rPr>
        <w:t>“</w:t>
      </w:r>
      <w:r w:rsidR="005B6AD5" w:rsidRPr="008D220A">
        <w:rPr>
          <w:rFonts w:ascii="Arial" w:hAnsi="Arial" w:cs="Arial"/>
          <w:sz w:val="24"/>
          <w:szCs w:val="24"/>
        </w:rPr>
        <w:t>E</w:t>
      </w:r>
      <w:r w:rsidRPr="008D220A">
        <w:rPr>
          <w:rFonts w:ascii="Arial" w:hAnsi="Arial" w:cs="Arial"/>
          <w:sz w:val="24"/>
          <w:szCs w:val="24"/>
        </w:rPr>
        <w:t xml:space="preserve">nergy credit for municipalities” has been developed </w:t>
      </w:r>
      <w:r w:rsidR="005B6AD5" w:rsidRPr="008D220A">
        <w:rPr>
          <w:rFonts w:ascii="Arial" w:hAnsi="Arial" w:cs="Arial"/>
          <w:sz w:val="24"/>
          <w:szCs w:val="24"/>
        </w:rPr>
        <w:t xml:space="preserve">by Oshchadbank </w:t>
      </w:r>
      <w:r w:rsidRPr="008D220A">
        <w:rPr>
          <w:rFonts w:ascii="Arial" w:hAnsi="Arial" w:cs="Arial"/>
          <w:sz w:val="24"/>
          <w:szCs w:val="24"/>
        </w:rPr>
        <w:t xml:space="preserve">along with </w:t>
      </w:r>
      <w:r w:rsidR="00B20857" w:rsidRPr="008D220A">
        <w:rPr>
          <w:rFonts w:ascii="Arial" w:hAnsi="Arial" w:cs="Arial"/>
          <w:sz w:val="24"/>
          <w:szCs w:val="24"/>
        </w:rPr>
        <w:t>draft loan documentation suitable for municipalities</w:t>
      </w:r>
      <w:r w:rsidRPr="008D220A">
        <w:rPr>
          <w:rFonts w:ascii="Arial" w:hAnsi="Arial" w:cs="Arial"/>
          <w:sz w:val="24"/>
          <w:szCs w:val="24"/>
        </w:rPr>
        <w:t xml:space="preserve"> to</w:t>
      </w:r>
      <w:r w:rsidR="00B20857" w:rsidRPr="008D220A">
        <w:rPr>
          <w:rFonts w:ascii="Arial" w:hAnsi="Arial" w:cs="Arial"/>
          <w:sz w:val="24"/>
          <w:szCs w:val="24"/>
        </w:rPr>
        <w:t xml:space="preserve"> reflect the unsecured nature of the lending as well as linkage to the projects being financed.</w:t>
      </w:r>
      <w:r w:rsidRPr="008D220A">
        <w:rPr>
          <w:rFonts w:ascii="Arial" w:hAnsi="Arial" w:cs="Arial"/>
          <w:sz w:val="24"/>
          <w:szCs w:val="24"/>
        </w:rPr>
        <w:t xml:space="preserve"> There is also i</w:t>
      </w:r>
      <w:r w:rsidR="00B20857" w:rsidRPr="008D220A">
        <w:rPr>
          <w:rFonts w:ascii="Arial" w:hAnsi="Arial" w:cs="Arial"/>
          <w:sz w:val="24"/>
          <w:szCs w:val="24"/>
        </w:rPr>
        <w:t>nternal approval to prepare and go for approval for up to 10 pilot projects. Such projects will be based on a credit rating approach. The IFC will provide funding (under the agreement with UNDP) for 10 municipal credit ratings for the first year.</w:t>
      </w:r>
    </w:p>
    <w:p w14:paraId="17DA50A7" w14:textId="77777777" w:rsidR="005B6AD5" w:rsidRPr="008D220A" w:rsidRDefault="005B6AD5" w:rsidP="005B6AD5">
      <w:pPr>
        <w:jc w:val="both"/>
        <w:rPr>
          <w:rFonts w:ascii="Arial" w:hAnsi="Arial" w:cs="Arial"/>
          <w:sz w:val="24"/>
          <w:szCs w:val="24"/>
        </w:rPr>
      </w:pPr>
    </w:p>
    <w:p w14:paraId="2D54D323" w14:textId="77777777" w:rsidR="005B6AD5" w:rsidRPr="008D220A" w:rsidRDefault="005B6AD5" w:rsidP="005B6AD5">
      <w:pPr>
        <w:jc w:val="both"/>
        <w:rPr>
          <w:rFonts w:ascii="Arial" w:hAnsi="Arial" w:cs="Arial"/>
          <w:b/>
          <w:sz w:val="24"/>
          <w:szCs w:val="24"/>
        </w:rPr>
      </w:pPr>
      <w:r w:rsidRPr="008D220A">
        <w:rPr>
          <w:rFonts w:ascii="Arial" w:hAnsi="Arial" w:cs="Arial"/>
          <w:b/>
          <w:sz w:val="24"/>
          <w:szCs w:val="24"/>
        </w:rPr>
        <w:t>Lending Parameters and Criteria</w:t>
      </w:r>
    </w:p>
    <w:p w14:paraId="2A34AF99" w14:textId="77777777" w:rsidR="005B6AD5" w:rsidRPr="008D220A" w:rsidRDefault="005B6AD5" w:rsidP="005B6AD5">
      <w:pPr>
        <w:jc w:val="both"/>
        <w:rPr>
          <w:rFonts w:ascii="Arial" w:hAnsi="Arial" w:cs="Arial"/>
          <w:sz w:val="24"/>
          <w:szCs w:val="24"/>
        </w:rPr>
      </w:pPr>
      <w:r w:rsidRPr="008D220A">
        <w:rPr>
          <w:rFonts w:ascii="Arial" w:hAnsi="Arial" w:cs="Arial"/>
          <w:sz w:val="24"/>
          <w:szCs w:val="24"/>
          <w:lang w:val="en-US"/>
        </w:rPr>
        <w:t>Ukraine’s second largest state-owned bank “Oshchadbank” participating in the FSM doesn’t have limitations in funds available for the municipal loans programme under the FSM and plans to allocate 2 billion UAH for the initial stage of the FSM implementation.</w:t>
      </w:r>
    </w:p>
    <w:p w14:paraId="424137CE" w14:textId="231DFD6C" w:rsidR="005B6AD5" w:rsidRPr="008D220A" w:rsidRDefault="005B6AD5" w:rsidP="005B6AD5">
      <w:pPr>
        <w:jc w:val="both"/>
        <w:rPr>
          <w:rFonts w:ascii="Arial" w:hAnsi="Arial" w:cs="Arial"/>
          <w:sz w:val="24"/>
          <w:szCs w:val="24"/>
        </w:rPr>
      </w:pPr>
      <w:r w:rsidRPr="008D220A">
        <w:rPr>
          <w:rFonts w:ascii="Arial" w:hAnsi="Arial" w:cs="Arial"/>
          <w:sz w:val="24"/>
          <w:szCs w:val="24"/>
        </w:rPr>
        <w:t>Oshchadbank has developed the following general terms and conditions for financing biomass projects under its financial product:</w:t>
      </w:r>
    </w:p>
    <w:p w14:paraId="5B06AEA7"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t>Borrower:</w:t>
      </w:r>
      <w:r w:rsidRPr="008D220A">
        <w:rPr>
          <w:rFonts w:ascii="Arial" w:hAnsi="Arial" w:cs="Arial"/>
          <w:sz w:val="24"/>
          <w:szCs w:val="24"/>
        </w:rPr>
        <w:t xml:space="preserve"> Municipality</w:t>
      </w:r>
    </w:p>
    <w:p w14:paraId="2A672E30"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t>Use of Funds:</w:t>
      </w:r>
      <w:r w:rsidRPr="008D220A">
        <w:rPr>
          <w:rFonts w:ascii="Arial" w:hAnsi="Arial" w:cs="Arial"/>
          <w:sz w:val="24"/>
          <w:szCs w:val="24"/>
        </w:rPr>
        <w:t xml:space="preserve"> Municipal infrastructure including projects for biomass and energy efficiency.</w:t>
      </w:r>
    </w:p>
    <w:p w14:paraId="5363A208"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t>Amount:</w:t>
      </w:r>
      <w:r w:rsidRPr="008D220A">
        <w:rPr>
          <w:rFonts w:ascii="Arial" w:hAnsi="Arial" w:cs="Arial"/>
          <w:sz w:val="24"/>
          <w:szCs w:val="24"/>
        </w:rPr>
        <w:t xml:space="preserve"> from 1 to 50 million UAH (up to USD 2 million)</w:t>
      </w:r>
    </w:p>
    <w:p w14:paraId="304BE865"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lastRenderedPageBreak/>
        <w:t>Portion of Project financed by Bank:</w:t>
      </w:r>
      <w:r w:rsidRPr="008D220A">
        <w:rPr>
          <w:rFonts w:ascii="Arial" w:hAnsi="Arial" w:cs="Arial"/>
          <w:sz w:val="24"/>
          <w:szCs w:val="24"/>
        </w:rPr>
        <w:t xml:space="preserve"> up to 80%</w:t>
      </w:r>
    </w:p>
    <w:p w14:paraId="6B1F3C36"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t>Term:</w:t>
      </w:r>
      <w:r w:rsidRPr="008D220A">
        <w:rPr>
          <w:rFonts w:ascii="Arial" w:hAnsi="Arial" w:cs="Arial"/>
          <w:sz w:val="24"/>
          <w:szCs w:val="24"/>
        </w:rPr>
        <w:t xml:space="preserve"> up to 5 years</w:t>
      </w:r>
    </w:p>
    <w:p w14:paraId="2855D56F"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t>Interest Rate:</w:t>
      </w:r>
      <w:r w:rsidRPr="008D220A">
        <w:rPr>
          <w:rFonts w:ascii="Arial" w:hAnsi="Arial" w:cs="Arial"/>
          <w:sz w:val="24"/>
          <w:szCs w:val="24"/>
        </w:rPr>
        <w:t xml:space="preserve"> Refinance Rate + Margin (currently around 17-18%)</w:t>
      </w:r>
    </w:p>
    <w:p w14:paraId="7FE9D9DD" w14:textId="77777777" w:rsidR="005B6AD5" w:rsidRPr="008D220A" w:rsidRDefault="005B6AD5" w:rsidP="005B6AD5">
      <w:pPr>
        <w:jc w:val="both"/>
        <w:rPr>
          <w:rFonts w:ascii="Arial" w:hAnsi="Arial" w:cs="Arial"/>
          <w:sz w:val="24"/>
          <w:szCs w:val="24"/>
        </w:rPr>
      </w:pPr>
      <w:r w:rsidRPr="008D220A">
        <w:rPr>
          <w:rFonts w:ascii="Arial" w:hAnsi="Arial" w:cs="Arial"/>
          <w:sz w:val="24"/>
          <w:szCs w:val="24"/>
          <w:u w:val="single"/>
        </w:rPr>
        <w:t>Security:</w:t>
      </w:r>
      <w:r w:rsidRPr="008D220A">
        <w:rPr>
          <w:rFonts w:ascii="Arial" w:hAnsi="Arial" w:cs="Arial"/>
          <w:sz w:val="24"/>
          <w:szCs w:val="24"/>
        </w:rPr>
        <w:t xml:space="preserve"> unsecured (lending decision based on credit rating) </w:t>
      </w:r>
    </w:p>
    <w:p w14:paraId="4957EB9F" w14:textId="77777777" w:rsidR="005B6AD5" w:rsidRPr="008D220A" w:rsidRDefault="005B6AD5" w:rsidP="005B6AD5">
      <w:pPr>
        <w:jc w:val="both"/>
        <w:rPr>
          <w:rFonts w:ascii="Arial" w:hAnsi="Arial" w:cs="Arial"/>
          <w:sz w:val="24"/>
          <w:szCs w:val="24"/>
          <w:u w:val="single"/>
        </w:rPr>
      </w:pPr>
      <w:r w:rsidRPr="008D220A">
        <w:rPr>
          <w:rFonts w:ascii="Arial" w:hAnsi="Arial" w:cs="Arial"/>
          <w:sz w:val="24"/>
          <w:szCs w:val="24"/>
          <w:u w:val="single"/>
        </w:rPr>
        <w:t xml:space="preserve">Other Conditions: </w:t>
      </w:r>
    </w:p>
    <w:p w14:paraId="4CF701D0" w14:textId="77777777" w:rsidR="005B6AD5" w:rsidRPr="008D220A" w:rsidRDefault="005B6AD5" w:rsidP="005B6AD5">
      <w:pPr>
        <w:pStyle w:val="af6"/>
        <w:numPr>
          <w:ilvl w:val="0"/>
          <w:numId w:val="23"/>
        </w:numPr>
        <w:spacing w:line="240" w:lineRule="auto"/>
        <w:jc w:val="both"/>
        <w:rPr>
          <w:rFonts w:ascii="Arial" w:hAnsi="Arial" w:cs="Arial"/>
          <w:sz w:val="24"/>
          <w:szCs w:val="24"/>
          <w:u w:val="single"/>
        </w:rPr>
      </w:pPr>
      <w:r w:rsidRPr="008D220A">
        <w:rPr>
          <w:rFonts w:ascii="Arial" w:hAnsi="Arial" w:cs="Arial"/>
          <w:sz w:val="24"/>
          <w:szCs w:val="24"/>
        </w:rPr>
        <w:t>Energy reductions/cost savings as confirmed by energy audit or other technical documentation</w:t>
      </w:r>
    </w:p>
    <w:p w14:paraId="3B0D543E" w14:textId="77777777" w:rsidR="005B6AD5" w:rsidRPr="008D220A" w:rsidRDefault="005B6AD5" w:rsidP="005B6AD5">
      <w:pPr>
        <w:pStyle w:val="af6"/>
        <w:numPr>
          <w:ilvl w:val="0"/>
          <w:numId w:val="23"/>
        </w:numPr>
        <w:spacing w:line="240" w:lineRule="auto"/>
        <w:jc w:val="both"/>
        <w:rPr>
          <w:rFonts w:ascii="Arial" w:hAnsi="Arial" w:cs="Arial"/>
          <w:sz w:val="24"/>
          <w:szCs w:val="24"/>
        </w:rPr>
      </w:pPr>
      <w:r w:rsidRPr="008D220A">
        <w:rPr>
          <w:rFonts w:ascii="Arial" w:hAnsi="Arial" w:cs="Arial"/>
          <w:sz w:val="24"/>
          <w:szCs w:val="24"/>
        </w:rPr>
        <w:t>Independent credit rating</w:t>
      </w:r>
    </w:p>
    <w:p w14:paraId="030ADE0B" w14:textId="3A10695F" w:rsidR="005B6AD5" w:rsidRPr="008D220A" w:rsidRDefault="00653143" w:rsidP="005B6AD5">
      <w:pPr>
        <w:jc w:val="both"/>
        <w:rPr>
          <w:rFonts w:ascii="Arial" w:hAnsi="Arial" w:cs="Arial"/>
          <w:b/>
          <w:sz w:val="24"/>
          <w:szCs w:val="24"/>
        </w:rPr>
      </w:pPr>
      <w:r w:rsidRPr="008D220A">
        <w:rPr>
          <w:rFonts w:ascii="Arial" w:hAnsi="Arial" w:cs="Arial"/>
          <w:b/>
          <w:sz w:val="24"/>
          <w:szCs w:val="24"/>
        </w:rPr>
        <w:t>Challenges and issues</w:t>
      </w:r>
    </w:p>
    <w:p w14:paraId="52F5076A" w14:textId="508FD3E0" w:rsidR="005B6AD5" w:rsidRPr="008D220A" w:rsidRDefault="005B6AD5" w:rsidP="005B6AD5">
      <w:pPr>
        <w:jc w:val="both"/>
        <w:rPr>
          <w:rFonts w:ascii="Arial" w:hAnsi="Arial" w:cs="Arial"/>
          <w:sz w:val="24"/>
          <w:szCs w:val="24"/>
        </w:rPr>
      </w:pPr>
      <w:r w:rsidRPr="008D220A">
        <w:rPr>
          <w:rFonts w:ascii="Arial" w:hAnsi="Arial" w:cs="Arial"/>
          <w:sz w:val="24"/>
          <w:szCs w:val="24"/>
        </w:rPr>
        <w:t xml:space="preserve">Certain number of regulatory, </w:t>
      </w:r>
      <w:r w:rsidRPr="008D220A">
        <w:rPr>
          <w:rFonts w:ascii="Arial" w:hAnsi="Arial" w:cs="Arial"/>
          <w:sz w:val="24"/>
          <w:szCs w:val="24"/>
          <w:u w:val="single"/>
        </w:rPr>
        <w:t>procedural and bank issues has been successfully addressed</w:t>
      </w:r>
      <w:r w:rsidRPr="008D220A">
        <w:rPr>
          <w:rFonts w:ascii="Arial" w:hAnsi="Arial" w:cs="Arial"/>
          <w:sz w:val="24"/>
          <w:szCs w:val="24"/>
        </w:rPr>
        <w:t xml:space="preserve"> during 2017 under the FSM implementation, in particular:</w:t>
      </w:r>
    </w:p>
    <w:p w14:paraId="1D2A48ED" w14:textId="77777777" w:rsidR="005B6AD5" w:rsidRPr="008D220A" w:rsidRDefault="005B6AD5" w:rsidP="00885EBA">
      <w:pPr>
        <w:pStyle w:val="af6"/>
        <w:numPr>
          <w:ilvl w:val="0"/>
          <w:numId w:val="9"/>
        </w:numPr>
        <w:spacing w:after="160" w:line="240" w:lineRule="auto"/>
        <w:ind w:left="284" w:hanging="284"/>
        <w:jc w:val="both"/>
        <w:rPr>
          <w:rFonts w:ascii="Arial" w:hAnsi="Arial" w:cs="Arial"/>
          <w:sz w:val="24"/>
          <w:szCs w:val="24"/>
        </w:rPr>
      </w:pPr>
      <w:r w:rsidRPr="008D220A">
        <w:rPr>
          <w:rFonts w:ascii="Arial" w:hAnsi="Arial" w:cs="Arial"/>
          <w:sz w:val="24"/>
          <w:szCs w:val="24"/>
        </w:rPr>
        <w:t>Oschadbank has received permission from the National Bank of Ukraine to lend on an unsecured basis. This is essential as municipalities are not able to provide security in the traditional form such as real estate.</w:t>
      </w:r>
    </w:p>
    <w:p w14:paraId="7A3C674A" w14:textId="77777777" w:rsidR="005B6AD5" w:rsidRPr="008D220A" w:rsidRDefault="005B6AD5" w:rsidP="00885EBA">
      <w:pPr>
        <w:pStyle w:val="af6"/>
        <w:numPr>
          <w:ilvl w:val="0"/>
          <w:numId w:val="9"/>
        </w:numPr>
        <w:spacing w:line="240" w:lineRule="auto"/>
        <w:ind w:left="284" w:hanging="284"/>
        <w:jc w:val="both"/>
        <w:rPr>
          <w:rFonts w:ascii="Arial" w:hAnsi="Arial" w:cs="Arial"/>
          <w:sz w:val="24"/>
          <w:szCs w:val="24"/>
        </w:rPr>
      </w:pPr>
      <w:r w:rsidRPr="008D220A">
        <w:rPr>
          <w:rFonts w:ascii="Arial" w:hAnsi="Arial" w:cs="Arial"/>
          <w:sz w:val="24"/>
          <w:szCs w:val="24"/>
        </w:rPr>
        <w:t>No reserve lending conditions have been confirmed by the National Bank of Ukraine. This is also essential as the amount of reserves that a bank must apply to a particular loan has a great impact on the return of that loan (return on equity) and therefore on the pricing applied.</w:t>
      </w:r>
    </w:p>
    <w:p w14:paraId="3A14C1D0" w14:textId="24C59DEF" w:rsidR="000400DC" w:rsidRPr="008D220A" w:rsidRDefault="005B6AD5" w:rsidP="00885EBA">
      <w:pPr>
        <w:pStyle w:val="af6"/>
        <w:numPr>
          <w:ilvl w:val="0"/>
          <w:numId w:val="9"/>
        </w:numPr>
        <w:spacing w:after="160" w:line="240" w:lineRule="auto"/>
        <w:ind w:left="284" w:hanging="284"/>
        <w:jc w:val="both"/>
        <w:rPr>
          <w:rFonts w:ascii="Arial" w:hAnsi="Arial" w:cs="Arial"/>
          <w:sz w:val="24"/>
          <w:szCs w:val="24"/>
        </w:rPr>
      </w:pPr>
      <w:r w:rsidRPr="008D220A">
        <w:rPr>
          <w:rFonts w:ascii="Arial" w:hAnsi="Arial" w:cs="Arial"/>
          <w:sz w:val="24"/>
          <w:szCs w:val="24"/>
        </w:rPr>
        <w:t>Waiver from tender process. Under Ukrainian legislation all state entities must go through a tender process in order to purchase goods or services. However, clarification from the Ministry of Economic Development has been received that such process does not apply to the procurement of financial services such as a loan.</w:t>
      </w:r>
    </w:p>
    <w:p w14:paraId="69E31D7B" w14:textId="588E49B7" w:rsidR="005B6AD5" w:rsidRPr="008D220A" w:rsidRDefault="00BF3003" w:rsidP="004F1B1E">
      <w:pPr>
        <w:jc w:val="both"/>
        <w:rPr>
          <w:rFonts w:ascii="Arial" w:hAnsi="Arial" w:cs="Arial"/>
          <w:sz w:val="24"/>
          <w:szCs w:val="24"/>
          <w:u w:val="single"/>
        </w:rPr>
      </w:pPr>
      <w:r w:rsidRPr="008D220A">
        <w:rPr>
          <w:rFonts w:ascii="Arial" w:hAnsi="Arial" w:cs="Arial"/>
          <w:sz w:val="24"/>
          <w:szCs w:val="24"/>
        </w:rPr>
        <w:t xml:space="preserve">There are, however, </w:t>
      </w:r>
      <w:r w:rsidR="005B6AD5" w:rsidRPr="008D220A">
        <w:rPr>
          <w:rFonts w:ascii="Arial" w:hAnsi="Arial" w:cs="Arial"/>
          <w:sz w:val="24"/>
          <w:szCs w:val="24"/>
        </w:rPr>
        <w:t xml:space="preserve">some </w:t>
      </w:r>
      <w:r w:rsidR="005B6AD5" w:rsidRPr="008D220A">
        <w:rPr>
          <w:rFonts w:ascii="Arial" w:hAnsi="Arial" w:cs="Arial"/>
          <w:sz w:val="24"/>
          <w:szCs w:val="24"/>
          <w:u w:val="single"/>
        </w:rPr>
        <w:t xml:space="preserve">outstanding </w:t>
      </w:r>
      <w:r w:rsidR="00CA5F9C" w:rsidRPr="008D220A">
        <w:rPr>
          <w:rFonts w:ascii="Arial" w:hAnsi="Arial" w:cs="Arial"/>
          <w:sz w:val="24"/>
          <w:szCs w:val="24"/>
          <w:u w:val="single"/>
        </w:rPr>
        <w:t>procedural</w:t>
      </w:r>
      <w:r w:rsidR="005B6AD5" w:rsidRPr="008D220A">
        <w:rPr>
          <w:rFonts w:ascii="Arial" w:hAnsi="Arial" w:cs="Arial"/>
          <w:sz w:val="24"/>
          <w:szCs w:val="24"/>
          <w:u w:val="single"/>
        </w:rPr>
        <w:t xml:space="preserve"> and</w:t>
      </w:r>
      <w:r w:rsidR="00CA5F9C" w:rsidRPr="008D220A">
        <w:rPr>
          <w:rFonts w:ascii="Arial" w:hAnsi="Arial" w:cs="Arial"/>
          <w:sz w:val="24"/>
          <w:szCs w:val="24"/>
          <w:u w:val="single"/>
        </w:rPr>
        <w:t xml:space="preserve"> project</w:t>
      </w:r>
      <w:r w:rsidR="005B6AD5" w:rsidRPr="008D220A">
        <w:rPr>
          <w:rFonts w:ascii="Arial" w:hAnsi="Arial" w:cs="Arial"/>
          <w:sz w:val="24"/>
          <w:szCs w:val="24"/>
          <w:u w:val="single"/>
        </w:rPr>
        <w:t>-related</w:t>
      </w:r>
      <w:r w:rsidR="00CA5F9C" w:rsidRPr="008D220A">
        <w:rPr>
          <w:rFonts w:ascii="Arial" w:hAnsi="Arial" w:cs="Arial"/>
          <w:sz w:val="24"/>
          <w:szCs w:val="24"/>
          <w:u w:val="single"/>
        </w:rPr>
        <w:t xml:space="preserve"> issues</w:t>
      </w:r>
      <w:r w:rsidRPr="008D220A">
        <w:rPr>
          <w:rFonts w:ascii="Arial" w:hAnsi="Arial" w:cs="Arial"/>
          <w:sz w:val="24"/>
          <w:szCs w:val="24"/>
          <w:u w:val="single"/>
        </w:rPr>
        <w:t xml:space="preserve"> hampering finaliz</w:t>
      </w:r>
      <w:r w:rsidR="005B6AD5" w:rsidRPr="008D220A">
        <w:rPr>
          <w:rFonts w:ascii="Arial" w:hAnsi="Arial" w:cs="Arial"/>
          <w:sz w:val="24"/>
          <w:szCs w:val="24"/>
          <w:u w:val="single"/>
        </w:rPr>
        <w:t>ation and launching of the FSM:</w:t>
      </w:r>
    </w:p>
    <w:p w14:paraId="4F74BCD8" w14:textId="0823440E" w:rsidR="004F1B1E" w:rsidRPr="008D220A" w:rsidRDefault="00CA5F9C" w:rsidP="00F66E67">
      <w:pPr>
        <w:pStyle w:val="af6"/>
        <w:numPr>
          <w:ilvl w:val="0"/>
          <w:numId w:val="26"/>
        </w:numPr>
        <w:spacing w:line="240" w:lineRule="auto"/>
        <w:ind w:left="284" w:hanging="284"/>
        <w:jc w:val="both"/>
        <w:rPr>
          <w:rFonts w:ascii="Arial" w:hAnsi="Arial" w:cs="Arial"/>
          <w:sz w:val="24"/>
          <w:szCs w:val="24"/>
        </w:rPr>
      </w:pPr>
      <w:r w:rsidRPr="008D220A">
        <w:rPr>
          <w:rFonts w:ascii="Arial" w:hAnsi="Arial" w:cs="Arial"/>
          <w:b/>
          <w:sz w:val="24"/>
          <w:szCs w:val="24"/>
        </w:rPr>
        <w:t>Ministry of Finance Approval</w:t>
      </w:r>
      <w:r w:rsidRPr="008D220A">
        <w:rPr>
          <w:rFonts w:ascii="Arial" w:hAnsi="Arial" w:cs="Arial"/>
          <w:sz w:val="24"/>
          <w:szCs w:val="24"/>
        </w:rPr>
        <w:t xml:space="preserve">. All loans taken by municipalities are subject to MoF approval. Currently this process, largely due that fact that municipalities are in general not taking loans, is not clear and subject to changing requirements from the MoF. Work is advancing on developing a </w:t>
      </w:r>
      <w:r w:rsidR="00D02ED0" w:rsidRPr="008D220A">
        <w:rPr>
          <w:rFonts w:ascii="Arial" w:hAnsi="Arial" w:cs="Arial"/>
          <w:sz w:val="24"/>
          <w:szCs w:val="24"/>
        </w:rPr>
        <w:t>standardized</w:t>
      </w:r>
      <w:r w:rsidRPr="008D220A">
        <w:rPr>
          <w:rFonts w:ascii="Arial" w:hAnsi="Arial" w:cs="Arial"/>
          <w:sz w:val="24"/>
          <w:szCs w:val="24"/>
        </w:rPr>
        <w:t xml:space="preserve"> set of documents that will be required from the municipalities by the MoF in order to approve such loans.</w:t>
      </w:r>
    </w:p>
    <w:p w14:paraId="5E424AFE" w14:textId="77777777" w:rsidR="004F1B1E" w:rsidRPr="008D220A" w:rsidRDefault="00777A7C" w:rsidP="00F66E67">
      <w:pPr>
        <w:pStyle w:val="af6"/>
        <w:numPr>
          <w:ilvl w:val="0"/>
          <w:numId w:val="26"/>
        </w:numPr>
        <w:spacing w:line="240" w:lineRule="auto"/>
        <w:ind w:left="284" w:hanging="284"/>
        <w:jc w:val="both"/>
        <w:rPr>
          <w:rFonts w:ascii="Arial" w:hAnsi="Arial" w:cs="Arial"/>
          <w:sz w:val="24"/>
          <w:szCs w:val="24"/>
        </w:rPr>
      </w:pPr>
      <w:r w:rsidRPr="008D220A">
        <w:rPr>
          <w:rFonts w:ascii="Arial" w:hAnsi="Arial" w:cs="Arial"/>
          <w:b/>
          <w:sz w:val="24"/>
          <w:szCs w:val="24"/>
        </w:rPr>
        <w:t>Long approval process for project documentation</w:t>
      </w:r>
      <w:r w:rsidRPr="008D220A">
        <w:rPr>
          <w:rFonts w:ascii="Arial" w:hAnsi="Arial" w:cs="Arial"/>
          <w:sz w:val="24"/>
          <w:szCs w:val="24"/>
        </w:rPr>
        <w:t xml:space="preserve">. </w:t>
      </w:r>
      <w:r w:rsidR="00D22BE0" w:rsidRPr="008D220A">
        <w:rPr>
          <w:rFonts w:ascii="Arial" w:hAnsi="Arial" w:cs="Arial"/>
          <w:sz w:val="24"/>
          <w:szCs w:val="24"/>
        </w:rPr>
        <w:t xml:space="preserve">In developing the reconstruction/construction projects, the municipality, as any other project developer, is required to go through an extensive procedure for the development, design and approval of the project documentation. Recent legislative changes related to urban development and construction that came into effect on 10 June 2017 mean that these projects will have a longer approval process than in the past, estimated at minimum 11 months. </w:t>
      </w:r>
      <w:r w:rsidR="00D22BE0" w:rsidRPr="008D220A">
        <w:rPr>
          <w:rStyle w:val="aff1"/>
          <w:rFonts w:ascii="Arial" w:hAnsi="Arial" w:cs="Arial"/>
          <w:sz w:val="24"/>
          <w:szCs w:val="24"/>
        </w:rPr>
        <w:footnoteReference w:id="4"/>
      </w:r>
      <w:r w:rsidR="00D22BE0" w:rsidRPr="008D220A">
        <w:rPr>
          <w:rFonts w:ascii="Arial" w:hAnsi="Arial" w:cs="Arial"/>
          <w:sz w:val="24"/>
          <w:szCs w:val="24"/>
        </w:rPr>
        <w:t xml:space="preserve"> This resulted mainly from the change of consequences classes in building regulations after adoption of Eurocodes (European Standards for the design of buildings and other civil engineering works and construction products) into Ukrainian local national standards reducing the number of consequences classes (CC) from 5 to 3. In practice it means that any construction/reconstruction/modification of heat generating facilities (now classified as CC2) will require obtaining a permission (previously in many cases the developer could simply notify the relevant construction authority by declaration) and more thorough expertize of the design documentation.</w:t>
      </w:r>
      <w:r w:rsidR="00653143" w:rsidRPr="008D220A">
        <w:rPr>
          <w:rFonts w:ascii="Arial" w:hAnsi="Arial" w:cs="Arial"/>
          <w:sz w:val="24"/>
          <w:szCs w:val="24"/>
        </w:rPr>
        <w:t xml:space="preserve"> </w:t>
      </w:r>
    </w:p>
    <w:p w14:paraId="3D859897" w14:textId="055F8AB6" w:rsidR="00490210" w:rsidRPr="008D220A" w:rsidRDefault="00AA7B66" w:rsidP="00F66E67">
      <w:pPr>
        <w:pStyle w:val="af6"/>
        <w:numPr>
          <w:ilvl w:val="0"/>
          <w:numId w:val="26"/>
        </w:numPr>
        <w:spacing w:line="240" w:lineRule="auto"/>
        <w:ind w:left="284" w:hanging="284"/>
        <w:jc w:val="both"/>
        <w:rPr>
          <w:rFonts w:ascii="Arial" w:hAnsi="Arial" w:cs="Arial"/>
          <w:sz w:val="24"/>
          <w:szCs w:val="24"/>
        </w:rPr>
      </w:pPr>
      <w:r w:rsidRPr="008D220A">
        <w:rPr>
          <w:rFonts w:ascii="Arial" w:hAnsi="Arial" w:cs="Arial"/>
          <w:b/>
          <w:sz w:val="24"/>
          <w:szCs w:val="24"/>
        </w:rPr>
        <w:t>Issues with provision of technical assistance for project preparation</w:t>
      </w:r>
      <w:r w:rsidRPr="008D220A">
        <w:rPr>
          <w:rFonts w:ascii="Arial" w:hAnsi="Arial" w:cs="Arial"/>
          <w:sz w:val="24"/>
          <w:szCs w:val="24"/>
        </w:rPr>
        <w:t xml:space="preserve">. </w:t>
      </w:r>
      <w:r w:rsidR="00D22BE0" w:rsidRPr="008D220A">
        <w:rPr>
          <w:rFonts w:ascii="Arial" w:hAnsi="Arial" w:cs="Arial"/>
          <w:sz w:val="24"/>
          <w:szCs w:val="24"/>
        </w:rPr>
        <w:t xml:space="preserve">With respects to all types of the building contracts, the party ordering any types of construction or design works (the “Employer”) should exercise the rights of ownership or lease for the land plot (construction site). This legal norm is also true for ordering feasibility study or feasibility analysis, which is an integral part of the project design documentation in accordance with Ukrainian construction law. Thus UNDP-GEF project can not order or directly finance the preparation of feasibility studies as UNDP has only a special status in Ukraine being in no </w:t>
      </w:r>
      <w:r w:rsidR="00D22BE0" w:rsidRPr="008D220A">
        <w:rPr>
          <w:rFonts w:ascii="Arial" w:hAnsi="Arial" w:cs="Arial"/>
          <w:sz w:val="24"/>
          <w:szCs w:val="24"/>
        </w:rPr>
        <w:lastRenderedPageBreak/>
        <w:t xml:space="preserve">case a local economic entity and having no land ownership rights. The feasibility studies are therefore to be ordered and financed by municipalities (or respective municipal entities) as landowners responsible for ordering the design documentation. </w:t>
      </w:r>
    </w:p>
    <w:p w14:paraId="653261E1" w14:textId="7EF1E785" w:rsidR="0003023F" w:rsidRPr="008D220A" w:rsidRDefault="00876BA6" w:rsidP="00876BA6">
      <w:pPr>
        <w:jc w:val="both"/>
        <w:rPr>
          <w:rFonts w:ascii="Arial" w:hAnsi="Arial" w:cs="Arial"/>
          <w:sz w:val="24"/>
          <w:szCs w:val="24"/>
        </w:rPr>
      </w:pPr>
      <w:r w:rsidRPr="008D220A">
        <w:rPr>
          <w:rFonts w:ascii="Arial" w:hAnsi="Arial" w:cs="Arial"/>
          <w:sz w:val="24"/>
          <w:szCs w:val="24"/>
        </w:rPr>
        <w:t>Thus</w:t>
      </w:r>
      <w:r w:rsidRPr="008D220A">
        <w:rPr>
          <w:rFonts w:ascii="Arial" w:hAnsi="Arial" w:cs="Arial"/>
          <w:b/>
          <w:sz w:val="24"/>
          <w:szCs w:val="24"/>
        </w:rPr>
        <w:t xml:space="preserve"> </w:t>
      </w:r>
      <w:r w:rsidRPr="008D220A">
        <w:rPr>
          <w:rFonts w:ascii="Arial" w:hAnsi="Arial" w:cs="Arial"/>
          <w:sz w:val="24"/>
          <w:szCs w:val="24"/>
        </w:rPr>
        <w:t xml:space="preserve">the main issue now affecting the launch of the FSM is to identify suitable projects that can be financed under the FSM in the nearest future, as any specific project might have a timeline from initial conception through to implementation of 1.5 – 2 years. The part of this is in the “homework” project development and documentation approval phase that must be carried out by the municipality. Therefore project selection is key to having pilot projects implemented under the Financial Support Mechanism in a short time frame. </w:t>
      </w:r>
      <w:r w:rsidR="00F66E67" w:rsidRPr="008D220A">
        <w:rPr>
          <w:rFonts w:ascii="Arial" w:hAnsi="Arial" w:cs="Arial"/>
          <w:sz w:val="24"/>
          <w:szCs w:val="24"/>
        </w:rPr>
        <w:t>Oschadbank is ready to proceed with pilot projects under Financial Support Mechanism, and c</w:t>
      </w:r>
      <w:r w:rsidRPr="008D220A">
        <w:rPr>
          <w:rFonts w:ascii="Arial" w:hAnsi="Arial" w:cs="Arial"/>
          <w:sz w:val="24"/>
          <w:szCs w:val="24"/>
        </w:rPr>
        <w:t xml:space="preserve">urrently four municipalities have been identified that are at a later stage in development of suitable projects, these are Kaniv, Slavuytch, Vosnesensk and Cheguiv. </w:t>
      </w:r>
    </w:p>
    <w:p w14:paraId="58E1D29F" w14:textId="77777777" w:rsidR="0003023F" w:rsidRPr="008D220A" w:rsidRDefault="0003023F" w:rsidP="00876BA6">
      <w:pPr>
        <w:jc w:val="both"/>
        <w:rPr>
          <w:rFonts w:ascii="Arial" w:hAnsi="Arial" w:cs="Arial"/>
          <w:sz w:val="24"/>
          <w:szCs w:val="24"/>
        </w:rPr>
      </w:pPr>
    </w:p>
    <w:p w14:paraId="044D78E7" w14:textId="6457C90F" w:rsidR="00572621" w:rsidRPr="008D220A" w:rsidRDefault="0003023F" w:rsidP="00510A55">
      <w:pPr>
        <w:jc w:val="both"/>
      </w:pPr>
      <w:r w:rsidRPr="008D220A">
        <w:rPr>
          <w:rFonts w:ascii="Arial" w:hAnsi="Arial" w:cs="Arial"/>
          <w:sz w:val="24"/>
          <w:szCs w:val="24"/>
        </w:rPr>
        <w:t>I</w:t>
      </w:r>
      <w:r w:rsidR="00876BA6" w:rsidRPr="008D220A">
        <w:rPr>
          <w:rFonts w:ascii="Arial" w:hAnsi="Arial" w:cs="Arial"/>
          <w:sz w:val="24"/>
          <w:szCs w:val="24"/>
        </w:rPr>
        <w:t xml:space="preserve">mplementation of the </w:t>
      </w:r>
      <w:r w:rsidRPr="008D220A">
        <w:rPr>
          <w:rFonts w:ascii="Arial" w:hAnsi="Arial" w:cs="Arial"/>
          <w:sz w:val="24"/>
          <w:szCs w:val="24"/>
        </w:rPr>
        <w:t xml:space="preserve">Awareness and </w:t>
      </w:r>
      <w:r w:rsidR="00876BA6" w:rsidRPr="008D220A">
        <w:rPr>
          <w:rFonts w:ascii="Arial" w:hAnsi="Arial" w:cs="Arial"/>
          <w:sz w:val="24"/>
          <w:szCs w:val="24"/>
        </w:rPr>
        <w:t xml:space="preserve">Capacity Building Training </w:t>
      </w:r>
      <w:r w:rsidRPr="008D220A">
        <w:rPr>
          <w:rFonts w:ascii="Arial" w:hAnsi="Arial" w:cs="Arial"/>
          <w:sz w:val="24"/>
          <w:szCs w:val="24"/>
        </w:rPr>
        <w:t xml:space="preserve">Campaign </w:t>
      </w:r>
      <w:r w:rsidR="00876BA6" w:rsidRPr="008D220A">
        <w:rPr>
          <w:rFonts w:ascii="Arial" w:hAnsi="Arial" w:cs="Arial"/>
          <w:sz w:val="24"/>
          <w:szCs w:val="24"/>
        </w:rPr>
        <w:t xml:space="preserve">in order to </w:t>
      </w:r>
      <w:r w:rsidRPr="008D220A">
        <w:rPr>
          <w:rFonts w:ascii="Arial" w:hAnsi="Arial" w:cs="Arial"/>
          <w:sz w:val="24"/>
          <w:szCs w:val="24"/>
        </w:rPr>
        <w:t xml:space="preserve">present the FSM to municipalities and also </w:t>
      </w:r>
      <w:r w:rsidR="00876BA6" w:rsidRPr="008D220A">
        <w:rPr>
          <w:rFonts w:ascii="Arial" w:hAnsi="Arial" w:cs="Arial"/>
          <w:sz w:val="24"/>
          <w:szCs w:val="24"/>
        </w:rPr>
        <w:t>identify and eng</w:t>
      </w:r>
      <w:r w:rsidRPr="008D220A">
        <w:rPr>
          <w:rFonts w:ascii="Arial" w:hAnsi="Arial" w:cs="Arial"/>
          <w:sz w:val="24"/>
          <w:szCs w:val="24"/>
        </w:rPr>
        <w:t xml:space="preserve">age with more advanced projects </w:t>
      </w:r>
      <w:r w:rsidR="00510A55" w:rsidRPr="008D220A">
        <w:rPr>
          <w:rFonts w:ascii="Arial" w:hAnsi="Arial" w:cs="Arial"/>
          <w:sz w:val="24"/>
          <w:szCs w:val="24"/>
        </w:rPr>
        <w:t xml:space="preserve">is to help speed up the FSM operationalization and </w:t>
      </w:r>
      <w:r w:rsidR="00876BA6" w:rsidRPr="008D220A">
        <w:rPr>
          <w:rFonts w:ascii="Arial" w:hAnsi="Arial" w:cs="Arial"/>
          <w:sz w:val="24"/>
          <w:szCs w:val="24"/>
        </w:rPr>
        <w:t xml:space="preserve">accelerate the implementation of </w:t>
      </w:r>
      <w:r w:rsidR="00510A55" w:rsidRPr="008D220A">
        <w:rPr>
          <w:rFonts w:ascii="Arial" w:hAnsi="Arial" w:cs="Arial"/>
          <w:sz w:val="24"/>
          <w:szCs w:val="24"/>
        </w:rPr>
        <w:t xml:space="preserve">biomass </w:t>
      </w:r>
      <w:r w:rsidR="00876BA6" w:rsidRPr="008D220A">
        <w:rPr>
          <w:rFonts w:ascii="Arial" w:hAnsi="Arial" w:cs="Arial"/>
          <w:sz w:val="24"/>
          <w:szCs w:val="24"/>
        </w:rPr>
        <w:t>projects</w:t>
      </w:r>
      <w:r w:rsidR="00510A55" w:rsidRPr="008D220A">
        <w:rPr>
          <w:rFonts w:ascii="Arial" w:hAnsi="Arial" w:cs="Arial"/>
          <w:sz w:val="24"/>
          <w:szCs w:val="24"/>
        </w:rPr>
        <w:t>.</w:t>
      </w:r>
    </w:p>
    <w:p w14:paraId="44CF0586" w14:textId="3166747B" w:rsidR="00910880" w:rsidRPr="008D220A" w:rsidRDefault="00910880" w:rsidP="00D87EA1">
      <w:pPr>
        <w:jc w:val="both"/>
        <w:rPr>
          <w:lang w:val="en-US"/>
        </w:rPr>
      </w:pPr>
    </w:p>
    <w:p w14:paraId="5513B3C1" w14:textId="4BF68A01" w:rsidR="00E217CE" w:rsidRPr="008D220A" w:rsidRDefault="00E217CE" w:rsidP="00F130F2">
      <w:pPr>
        <w:pStyle w:val="2"/>
        <w:spacing w:before="0" w:after="0"/>
        <w:jc w:val="both"/>
        <w:rPr>
          <w:lang w:val="en-US"/>
        </w:rPr>
      </w:pPr>
      <w:bookmarkStart w:id="25" w:name="_Toc376123030"/>
      <w:r w:rsidRPr="008D220A">
        <w:rPr>
          <w:lang w:val="en-US"/>
        </w:rPr>
        <w:t xml:space="preserve">3.4. </w:t>
      </w:r>
      <w:r w:rsidR="00D87EA1" w:rsidRPr="008D220A">
        <w:rPr>
          <w:lang w:val="en-US"/>
        </w:rPr>
        <w:t>Capacity Building Training Campaign</w:t>
      </w:r>
      <w:bookmarkEnd w:id="25"/>
      <w:r w:rsidR="00D87EA1" w:rsidRPr="008D220A">
        <w:rPr>
          <w:lang w:val="en-US"/>
        </w:rPr>
        <w:t xml:space="preserve"> </w:t>
      </w:r>
      <w:r w:rsidRPr="008D220A">
        <w:rPr>
          <w:lang w:val="en-US"/>
        </w:rPr>
        <w:t xml:space="preserve"> </w:t>
      </w:r>
    </w:p>
    <w:p w14:paraId="6FE3D74A" w14:textId="77777777" w:rsidR="00495DE0" w:rsidRPr="008D220A" w:rsidRDefault="00495DE0" w:rsidP="00F130F2">
      <w:pPr>
        <w:jc w:val="both"/>
        <w:rPr>
          <w:rFonts w:ascii="Arial" w:hAnsi="Arial" w:cs="Arial"/>
          <w:bCs/>
          <w:sz w:val="24"/>
          <w:szCs w:val="24"/>
          <w:lang w:val="en-US"/>
        </w:rPr>
      </w:pPr>
    </w:p>
    <w:p w14:paraId="22B63AF9" w14:textId="698F72E6" w:rsidR="0064694D" w:rsidRPr="008D220A" w:rsidRDefault="0064694D" w:rsidP="0028776A">
      <w:pPr>
        <w:pStyle w:val="af6"/>
        <w:widowControl w:val="0"/>
        <w:overflowPunct w:val="0"/>
        <w:autoSpaceDE w:val="0"/>
        <w:autoSpaceDN w:val="0"/>
        <w:adjustRightInd w:val="0"/>
        <w:spacing w:after="0" w:line="240" w:lineRule="auto"/>
        <w:ind w:left="0"/>
        <w:jc w:val="both"/>
        <w:rPr>
          <w:rFonts w:ascii="Arial" w:hAnsi="Arial" w:cs="Arial"/>
          <w:sz w:val="24"/>
          <w:szCs w:val="24"/>
        </w:rPr>
      </w:pPr>
      <w:r w:rsidRPr="008D220A">
        <w:rPr>
          <w:rFonts w:ascii="Arial" w:hAnsi="Arial" w:cs="Arial"/>
          <w:sz w:val="24"/>
          <w:szCs w:val="24"/>
        </w:rPr>
        <w:t>T</w:t>
      </w:r>
      <w:r w:rsidR="00D932EA" w:rsidRPr="008D220A">
        <w:rPr>
          <w:rFonts w:ascii="Arial" w:hAnsi="Arial" w:cs="Arial"/>
          <w:sz w:val="24"/>
          <w:szCs w:val="24"/>
        </w:rPr>
        <w:t>o advocate agricultural biomass utilization as a promising energy source to be used in municipal/commercial facilities</w:t>
      </w:r>
      <w:r w:rsidRPr="008D220A">
        <w:rPr>
          <w:rFonts w:ascii="Arial" w:hAnsi="Arial" w:cs="Arial"/>
          <w:sz w:val="24"/>
          <w:szCs w:val="24"/>
        </w:rPr>
        <w:t xml:space="preserve"> and inform potential FSM’s clients about existing financing opportunities, the project developed and started </w:t>
      </w:r>
      <w:r w:rsidR="007F32DC" w:rsidRPr="008D220A">
        <w:rPr>
          <w:rFonts w:ascii="Arial" w:hAnsi="Arial" w:cs="Arial"/>
          <w:sz w:val="24"/>
          <w:szCs w:val="24"/>
        </w:rPr>
        <w:t xml:space="preserve">the </w:t>
      </w:r>
      <w:r w:rsidRPr="008D220A">
        <w:rPr>
          <w:rFonts w:ascii="Arial" w:hAnsi="Arial" w:cs="Arial"/>
          <w:sz w:val="24"/>
          <w:szCs w:val="24"/>
        </w:rPr>
        <w:t xml:space="preserve">Capacity Building Training Campaign that includes Biomass Info-kit and trainings in all regions of Ukraine. </w:t>
      </w:r>
    </w:p>
    <w:p w14:paraId="68C6315A" w14:textId="77777777" w:rsidR="004E409F" w:rsidRPr="008D220A" w:rsidRDefault="004E409F" w:rsidP="0028776A">
      <w:pPr>
        <w:pStyle w:val="af6"/>
        <w:widowControl w:val="0"/>
        <w:overflowPunct w:val="0"/>
        <w:autoSpaceDE w:val="0"/>
        <w:autoSpaceDN w:val="0"/>
        <w:adjustRightInd w:val="0"/>
        <w:spacing w:after="0" w:line="240" w:lineRule="auto"/>
        <w:ind w:left="0"/>
        <w:jc w:val="both"/>
        <w:rPr>
          <w:rFonts w:ascii="Arial" w:hAnsi="Arial" w:cs="Arial"/>
          <w:sz w:val="24"/>
          <w:szCs w:val="24"/>
        </w:rPr>
      </w:pPr>
    </w:p>
    <w:p w14:paraId="05FA3A00" w14:textId="3F37DA44" w:rsidR="004E409F" w:rsidRPr="008D220A" w:rsidRDefault="004E409F" w:rsidP="0028776A">
      <w:pPr>
        <w:pStyle w:val="af6"/>
        <w:widowControl w:val="0"/>
        <w:overflowPunct w:val="0"/>
        <w:autoSpaceDE w:val="0"/>
        <w:autoSpaceDN w:val="0"/>
        <w:adjustRightInd w:val="0"/>
        <w:spacing w:after="0" w:line="240" w:lineRule="auto"/>
        <w:ind w:left="0"/>
        <w:jc w:val="both"/>
        <w:rPr>
          <w:rFonts w:ascii="Arial" w:hAnsi="Arial" w:cs="Arial"/>
          <w:sz w:val="24"/>
          <w:szCs w:val="24"/>
        </w:rPr>
      </w:pPr>
      <w:r w:rsidRPr="008D220A">
        <w:rPr>
          <w:rFonts w:ascii="Arial" w:hAnsi="Arial" w:cs="Arial"/>
          <w:sz w:val="24"/>
          <w:szCs w:val="24"/>
        </w:rPr>
        <w:t>The Capacity Building Training Campaign is primarily targeted at oblast and municipal level authorities, including state government representatives, municipal authorities and specialists, rayon level authorities and specialist as well as non-governmental organizations and community-based organizations.</w:t>
      </w:r>
    </w:p>
    <w:p w14:paraId="16604315" w14:textId="77777777" w:rsidR="004E409F" w:rsidRPr="008D220A" w:rsidRDefault="004E409F" w:rsidP="00D932EA">
      <w:pPr>
        <w:pStyle w:val="af6"/>
        <w:widowControl w:val="0"/>
        <w:overflowPunct w:val="0"/>
        <w:autoSpaceDE w:val="0"/>
        <w:autoSpaceDN w:val="0"/>
        <w:adjustRightInd w:val="0"/>
        <w:ind w:left="0" w:right="-2"/>
        <w:jc w:val="both"/>
        <w:rPr>
          <w:rFonts w:ascii="Arial" w:hAnsi="Arial" w:cs="Arial"/>
          <w:sz w:val="20"/>
          <w:szCs w:val="20"/>
        </w:rPr>
      </w:pPr>
    </w:p>
    <w:p w14:paraId="13065646" w14:textId="722462C4" w:rsidR="009B1886" w:rsidRPr="008D220A" w:rsidRDefault="00C56B53" w:rsidP="00277EF1">
      <w:pPr>
        <w:pStyle w:val="af6"/>
        <w:widowControl w:val="0"/>
        <w:overflowPunct w:val="0"/>
        <w:autoSpaceDE w:val="0"/>
        <w:autoSpaceDN w:val="0"/>
        <w:adjustRightInd w:val="0"/>
        <w:spacing w:line="240" w:lineRule="auto"/>
        <w:ind w:left="0" w:right="-2"/>
        <w:jc w:val="both"/>
        <w:rPr>
          <w:rFonts w:ascii="Arial" w:hAnsi="Arial" w:cs="Arial"/>
          <w:bCs/>
          <w:sz w:val="24"/>
          <w:szCs w:val="24"/>
        </w:rPr>
      </w:pPr>
      <w:r w:rsidRPr="008D220A">
        <w:rPr>
          <w:rFonts w:ascii="Arial" w:hAnsi="Arial" w:cs="Arial"/>
          <w:sz w:val="24"/>
          <w:szCs w:val="24"/>
        </w:rPr>
        <w:t xml:space="preserve">To </w:t>
      </w:r>
      <w:r w:rsidR="00035B21" w:rsidRPr="008D220A">
        <w:rPr>
          <w:rFonts w:ascii="Arial" w:hAnsi="Arial" w:cs="Arial"/>
          <w:sz w:val="24"/>
          <w:szCs w:val="24"/>
        </w:rPr>
        <w:t xml:space="preserve">provide informational background and </w:t>
      </w:r>
      <w:r w:rsidR="00142857" w:rsidRPr="008D220A">
        <w:rPr>
          <w:rFonts w:ascii="Arial" w:hAnsi="Arial" w:cs="Arial"/>
          <w:sz w:val="24"/>
          <w:szCs w:val="24"/>
        </w:rPr>
        <w:t xml:space="preserve">create a </w:t>
      </w:r>
      <w:r w:rsidR="00035B21" w:rsidRPr="008D220A">
        <w:rPr>
          <w:rFonts w:ascii="Arial" w:hAnsi="Arial" w:cs="Arial"/>
          <w:sz w:val="24"/>
          <w:szCs w:val="24"/>
        </w:rPr>
        <w:t xml:space="preserve">solid </w:t>
      </w:r>
      <w:r w:rsidR="00142857" w:rsidRPr="008D220A">
        <w:rPr>
          <w:rFonts w:ascii="Arial" w:hAnsi="Arial" w:cs="Arial"/>
          <w:sz w:val="24"/>
          <w:szCs w:val="24"/>
        </w:rPr>
        <w:t>basis for training</w:t>
      </w:r>
      <w:r w:rsidR="00035B21" w:rsidRPr="008D220A">
        <w:rPr>
          <w:rFonts w:ascii="Arial" w:hAnsi="Arial" w:cs="Arial"/>
          <w:sz w:val="24"/>
          <w:szCs w:val="24"/>
        </w:rPr>
        <w:t>s</w:t>
      </w:r>
      <w:r w:rsidR="00142857" w:rsidRPr="008D220A">
        <w:rPr>
          <w:rFonts w:ascii="Arial" w:hAnsi="Arial" w:cs="Arial"/>
          <w:sz w:val="24"/>
          <w:szCs w:val="24"/>
        </w:rPr>
        <w:t xml:space="preserve"> </w:t>
      </w:r>
      <w:r w:rsidR="00A125FD" w:rsidRPr="008D220A">
        <w:rPr>
          <w:rFonts w:ascii="Arial" w:hAnsi="Arial" w:cs="Arial"/>
          <w:sz w:val="24"/>
          <w:szCs w:val="24"/>
        </w:rPr>
        <w:t>the Project has developed a multi-audience Biomass Info-kit including handbooks, training manuals and presentations for</w:t>
      </w:r>
      <w:r w:rsidR="00142857" w:rsidRPr="008D220A">
        <w:rPr>
          <w:rFonts w:ascii="Arial" w:hAnsi="Arial" w:cs="Arial"/>
          <w:sz w:val="24"/>
          <w:szCs w:val="24"/>
        </w:rPr>
        <w:t xml:space="preserve"> </w:t>
      </w:r>
      <w:r w:rsidR="004E409F" w:rsidRPr="008D220A">
        <w:rPr>
          <w:rFonts w:ascii="Arial" w:hAnsi="Arial" w:cs="Arial"/>
          <w:bCs/>
          <w:sz w:val="24"/>
          <w:szCs w:val="24"/>
        </w:rPr>
        <w:t xml:space="preserve">target </w:t>
      </w:r>
      <w:r w:rsidR="001D75D3" w:rsidRPr="008D220A">
        <w:rPr>
          <w:rFonts w:ascii="Arial" w:hAnsi="Arial" w:cs="Arial"/>
          <w:bCs/>
          <w:sz w:val="24"/>
          <w:szCs w:val="24"/>
        </w:rPr>
        <w:t>audience</w:t>
      </w:r>
      <w:r w:rsidR="004E409F" w:rsidRPr="008D220A">
        <w:rPr>
          <w:rFonts w:ascii="Arial" w:hAnsi="Arial" w:cs="Arial"/>
          <w:bCs/>
          <w:sz w:val="24"/>
          <w:szCs w:val="24"/>
        </w:rPr>
        <w:t xml:space="preserve"> (</w:t>
      </w:r>
      <w:r w:rsidR="001D75D3" w:rsidRPr="008D220A">
        <w:rPr>
          <w:rFonts w:ascii="Arial" w:hAnsi="Arial" w:cs="Arial"/>
          <w:bCs/>
          <w:sz w:val="24"/>
          <w:szCs w:val="24"/>
        </w:rPr>
        <w:t xml:space="preserve">specialists of </w:t>
      </w:r>
      <w:r w:rsidR="004E409F" w:rsidRPr="008D220A">
        <w:rPr>
          <w:rFonts w:ascii="Arial" w:hAnsi="Arial" w:cs="Arial"/>
          <w:bCs/>
          <w:sz w:val="24"/>
          <w:szCs w:val="24"/>
        </w:rPr>
        <w:t>agro-industrial complex, environment and nature resources, and housing and utilities sectors)</w:t>
      </w:r>
      <w:r w:rsidR="009B1886" w:rsidRPr="008D220A">
        <w:rPr>
          <w:rFonts w:ascii="Arial" w:hAnsi="Arial" w:cs="Arial"/>
          <w:bCs/>
          <w:sz w:val="24"/>
          <w:szCs w:val="24"/>
        </w:rPr>
        <w:t>.</w:t>
      </w:r>
    </w:p>
    <w:p w14:paraId="2F1529AE" w14:textId="77777777" w:rsidR="00623C91" w:rsidRPr="008D220A" w:rsidRDefault="00623C91" w:rsidP="00277EF1">
      <w:pPr>
        <w:pStyle w:val="af6"/>
        <w:widowControl w:val="0"/>
        <w:overflowPunct w:val="0"/>
        <w:autoSpaceDE w:val="0"/>
        <w:autoSpaceDN w:val="0"/>
        <w:adjustRightInd w:val="0"/>
        <w:spacing w:line="240" w:lineRule="auto"/>
        <w:ind w:left="0" w:right="-2"/>
        <w:jc w:val="both"/>
        <w:rPr>
          <w:rFonts w:ascii="Arial" w:hAnsi="Arial" w:cs="Arial"/>
          <w:bCs/>
          <w:sz w:val="24"/>
          <w:szCs w:val="24"/>
        </w:rPr>
      </w:pPr>
    </w:p>
    <w:p w14:paraId="59ECB307" w14:textId="689D03EF" w:rsidR="00623C91" w:rsidRPr="008D220A" w:rsidRDefault="00623C91" w:rsidP="00277EF1">
      <w:pPr>
        <w:pStyle w:val="af6"/>
        <w:widowControl w:val="0"/>
        <w:overflowPunct w:val="0"/>
        <w:autoSpaceDE w:val="0"/>
        <w:autoSpaceDN w:val="0"/>
        <w:adjustRightInd w:val="0"/>
        <w:spacing w:line="240" w:lineRule="auto"/>
        <w:ind w:left="0" w:right="-2"/>
        <w:jc w:val="both"/>
        <w:rPr>
          <w:rFonts w:ascii="Arial" w:hAnsi="Arial" w:cs="Arial"/>
          <w:bCs/>
          <w:sz w:val="24"/>
          <w:szCs w:val="24"/>
        </w:rPr>
      </w:pPr>
      <w:r w:rsidRPr="008D220A">
        <w:rPr>
          <w:rFonts w:ascii="Arial" w:hAnsi="Arial" w:cs="Arial"/>
          <w:bCs/>
          <w:sz w:val="24"/>
          <w:szCs w:val="24"/>
        </w:rPr>
        <w:t>The Biomass Info-kit includes the following materials:</w:t>
      </w:r>
    </w:p>
    <w:p w14:paraId="681432E1" w14:textId="77777777" w:rsidR="00623C91" w:rsidRPr="008D220A" w:rsidRDefault="00623C91" w:rsidP="00277EF1">
      <w:pPr>
        <w:pStyle w:val="af6"/>
        <w:widowControl w:val="0"/>
        <w:overflowPunct w:val="0"/>
        <w:autoSpaceDE w:val="0"/>
        <w:autoSpaceDN w:val="0"/>
        <w:adjustRightInd w:val="0"/>
        <w:spacing w:line="240" w:lineRule="auto"/>
        <w:ind w:left="0" w:right="-2"/>
        <w:jc w:val="both"/>
        <w:rPr>
          <w:rFonts w:ascii="Arial" w:hAnsi="Arial" w:cs="Arial"/>
          <w:bCs/>
          <w:sz w:val="24"/>
          <w:szCs w:val="24"/>
        </w:rPr>
      </w:pPr>
    </w:p>
    <w:p w14:paraId="34BCA24B" w14:textId="40D84CEC" w:rsidR="00077BF8" w:rsidRPr="008D220A" w:rsidRDefault="00077BF8"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Practical handbook on biomass utilization in the municipal sector of</w:t>
      </w:r>
      <w:r w:rsidR="00A2452D" w:rsidRPr="008D220A">
        <w:rPr>
          <w:rFonts w:ascii="Arial" w:hAnsi="Arial" w:cs="Arial"/>
          <w:sz w:val="24"/>
          <w:szCs w:val="24"/>
        </w:rPr>
        <w:t xml:space="preserve"> Ukraine for state </w:t>
      </w:r>
      <w:r w:rsidRPr="008D220A">
        <w:rPr>
          <w:rFonts w:ascii="Arial" w:hAnsi="Arial" w:cs="Arial"/>
          <w:sz w:val="24"/>
          <w:szCs w:val="24"/>
        </w:rPr>
        <w:t>and municipal departments of housing and utilities infrastructure</w:t>
      </w:r>
      <w:r w:rsidR="00623C91" w:rsidRPr="008D220A">
        <w:rPr>
          <w:rFonts w:ascii="Arial" w:hAnsi="Arial" w:cs="Arial"/>
          <w:sz w:val="24"/>
          <w:szCs w:val="24"/>
        </w:rPr>
        <w:t>.</w:t>
      </w:r>
    </w:p>
    <w:p w14:paraId="44D319AB" w14:textId="0334C9EA" w:rsidR="00623C91" w:rsidRPr="008D220A" w:rsidRDefault="00623C91"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Practical handbook on biomass utilization in the municipal sector of Ukraine for authorities and specialists of agricultural sector.</w:t>
      </w:r>
    </w:p>
    <w:p w14:paraId="21D71BB7" w14:textId="1B32BB8D" w:rsidR="00AB28E5" w:rsidRPr="008D220A" w:rsidRDefault="00AB28E5"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 xml:space="preserve">Practical handbook on biomass utilization in the municipal sector of Ukraine for </w:t>
      </w:r>
      <w:r w:rsidR="00623C91" w:rsidRPr="008D220A">
        <w:rPr>
          <w:rFonts w:ascii="Arial" w:hAnsi="Arial" w:cs="Arial"/>
          <w:sz w:val="24"/>
          <w:szCs w:val="24"/>
        </w:rPr>
        <w:t>environmental authorities and specialists.</w:t>
      </w:r>
    </w:p>
    <w:p w14:paraId="0FBBECFF" w14:textId="42EB814E" w:rsidR="00077BF8" w:rsidRPr="008D220A" w:rsidRDefault="00077BF8" w:rsidP="00623C91">
      <w:pPr>
        <w:pStyle w:val="af6"/>
        <w:widowControl w:val="0"/>
        <w:numPr>
          <w:ilvl w:val="0"/>
          <w:numId w:val="27"/>
        </w:numPr>
        <w:overflowPunct w:val="0"/>
        <w:autoSpaceDE w:val="0"/>
        <w:autoSpaceDN w:val="0"/>
        <w:adjustRightInd w:val="0"/>
        <w:spacing w:line="240" w:lineRule="auto"/>
        <w:ind w:right="-2"/>
        <w:jc w:val="both"/>
        <w:rPr>
          <w:rFonts w:ascii="Arial" w:eastAsia="Times New Roman" w:hAnsi="Arial" w:cs="Arial"/>
          <w:sz w:val="24"/>
          <w:szCs w:val="24"/>
          <w:lang w:eastAsia="ru-RU"/>
        </w:rPr>
      </w:pPr>
      <w:r w:rsidRPr="008D220A">
        <w:rPr>
          <w:rFonts w:ascii="Arial" w:eastAsia="Times New Roman" w:hAnsi="Arial" w:cs="Arial"/>
          <w:sz w:val="24"/>
          <w:szCs w:val="24"/>
          <w:lang w:eastAsia="ru-RU"/>
        </w:rPr>
        <w:t>Handbook on Municipal Lending for Financing EE and Renewable Projects</w:t>
      </w:r>
      <w:r w:rsidR="00623C91" w:rsidRPr="008D220A">
        <w:rPr>
          <w:rFonts w:ascii="Arial" w:eastAsia="Times New Roman" w:hAnsi="Arial" w:cs="Arial"/>
          <w:sz w:val="24"/>
          <w:szCs w:val="24"/>
          <w:lang w:eastAsia="ru-RU"/>
        </w:rPr>
        <w:t>.</w:t>
      </w:r>
    </w:p>
    <w:p w14:paraId="208FA503" w14:textId="3504D1EC" w:rsidR="00077BF8" w:rsidRPr="008D220A" w:rsidRDefault="00077BF8"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Training manual (for trainers) to be used in capacity development training on biomass utilization in the municipal sector of Ukraine for authorities and specialists of housing and utilities infrastructure</w:t>
      </w:r>
      <w:r w:rsidR="00623C91" w:rsidRPr="008D220A">
        <w:rPr>
          <w:rFonts w:ascii="Arial" w:hAnsi="Arial" w:cs="Arial"/>
          <w:sz w:val="24"/>
          <w:szCs w:val="24"/>
        </w:rPr>
        <w:t>.</w:t>
      </w:r>
    </w:p>
    <w:p w14:paraId="1EF55B82" w14:textId="7E05C06B" w:rsidR="00077BF8" w:rsidRPr="008D220A" w:rsidRDefault="00077BF8"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Training manual (for trainers) to be used in capacity development training on biomass utilization in the municipal sector of Ukraine for authorities and specialists of agricultural sector</w:t>
      </w:r>
      <w:r w:rsidR="00623C91" w:rsidRPr="008D220A">
        <w:rPr>
          <w:rFonts w:ascii="Arial" w:hAnsi="Arial" w:cs="Arial"/>
          <w:sz w:val="24"/>
          <w:szCs w:val="24"/>
        </w:rPr>
        <w:t>.</w:t>
      </w:r>
    </w:p>
    <w:p w14:paraId="046C7565" w14:textId="6D7EBDF9" w:rsidR="00077BF8" w:rsidRPr="008D220A" w:rsidRDefault="00077BF8"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Training manual (for trainers) to be used in capacity development training on biomass utilization in the municipal sector of Ukraine for environmental authorities and specialists</w:t>
      </w:r>
      <w:r w:rsidR="00623C91" w:rsidRPr="008D220A">
        <w:rPr>
          <w:rFonts w:ascii="Arial" w:hAnsi="Arial" w:cs="Arial"/>
          <w:sz w:val="24"/>
          <w:szCs w:val="24"/>
        </w:rPr>
        <w:t>.</w:t>
      </w:r>
    </w:p>
    <w:p w14:paraId="1AB81EE9" w14:textId="5884432A" w:rsidR="00623C91" w:rsidRPr="008D220A" w:rsidRDefault="00623C91"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 xml:space="preserve">Detailed Presentation for authorities and specialists of housing and utilities </w:t>
      </w:r>
      <w:r w:rsidRPr="008D220A">
        <w:rPr>
          <w:rFonts w:ascii="Arial" w:hAnsi="Arial" w:cs="Arial"/>
          <w:sz w:val="24"/>
          <w:szCs w:val="24"/>
        </w:rPr>
        <w:lastRenderedPageBreak/>
        <w:t>infrastructure.</w:t>
      </w:r>
    </w:p>
    <w:p w14:paraId="3B718B7D" w14:textId="735B8D94" w:rsidR="00623C91" w:rsidRPr="008D220A" w:rsidRDefault="00623C91"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Detailed Presentation for authorities and specialists of agricultural sector.</w:t>
      </w:r>
    </w:p>
    <w:p w14:paraId="36A17D62" w14:textId="61B5FF91" w:rsidR="00077BF8" w:rsidRPr="008D220A" w:rsidRDefault="00623C91" w:rsidP="00623C91">
      <w:pPr>
        <w:pStyle w:val="af6"/>
        <w:widowControl w:val="0"/>
        <w:numPr>
          <w:ilvl w:val="0"/>
          <w:numId w:val="27"/>
        </w:numPr>
        <w:overflowPunct w:val="0"/>
        <w:autoSpaceDE w:val="0"/>
        <w:autoSpaceDN w:val="0"/>
        <w:adjustRightInd w:val="0"/>
        <w:spacing w:line="240" w:lineRule="auto"/>
        <w:ind w:right="-2"/>
        <w:jc w:val="both"/>
        <w:rPr>
          <w:rFonts w:ascii="Arial" w:hAnsi="Arial" w:cs="Arial"/>
          <w:sz w:val="24"/>
          <w:szCs w:val="24"/>
        </w:rPr>
      </w:pPr>
      <w:r w:rsidRPr="008D220A">
        <w:rPr>
          <w:rFonts w:ascii="Arial" w:hAnsi="Arial" w:cs="Arial"/>
          <w:sz w:val="24"/>
          <w:szCs w:val="24"/>
        </w:rPr>
        <w:t>Detailed Presentation for environmental authorities and specialists.</w:t>
      </w:r>
    </w:p>
    <w:p w14:paraId="2DC8118D" w14:textId="65965F31" w:rsidR="009B1886" w:rsidRPr="008D220A" w:rsidRDefault="009B1886" w:rsidP="00A26C5C">
      <w:pPr>
        <w:tabs>
          <w:tab w:val="left" w:pos="0"/>
        </w:tabs>
        <w:contextualSpacing/>
        <w:jc w:val="both"/>
        <w:rPr>
          <w:rFonts w:ascii="Arial" w:hAnsi="Arial" w:cs="Arial"/>
          <w:sz w:val="24"/>
          <w:szCs w:val="24"/>
        </w:rPr>
      </w:pPr>
      <w:r w:rsidRPr="008D220A">
        <w:rPr>
          <w:rFonts w:ascii="Arial" w:hAnsi="Arial" w:cs="Arial"/>
          <w:sz w:val="24"/>
          <w:szCs w:val="24"/>
        </w:rPr>
        <w:t>The Biomass Info-kit will be used during all-Ukrainian biomass capacity building trainings campaign started in December 2017 and planned for at least first half of 2018</w:t>
      </w:r>
      <w:r w:rsidR="006C3D38" w:rsidRPr="008D220A">
        <w:rPr>
          <w:rFonts w:ascii="Arial" w:hAnsi="Arial" w:cs="Arial"/>
          <w:sz w:val="24"/>
          <w:szCs w:val="24"/>
        </w:rPr>
        <w:t xml:space="preserve"> </w:t>
      </w:r>
      <w:r w:rsidRPr="008D220A">
        <w:rPr>
          <w:rFonts w:ascii="Arial" w:hAnsi="Arial" w:cs="Arial"/>
          <w:sz w:val="24"/>
          <w:szCs w:val="24"/>
        </w:rPr>
        <w:t>covering 24 oblast</w:t>
      </w:r>
      <w:r w:rsidR="00C14A05" w:rsidRPr="008D220A">
        <w:rPr>
          <w:rFonts w:ascii="Arial" w:hAnsi="Arial" w:cs="Arial"/>
          <w:sz w:val="24"/>
          <w:szCs w:val="24"/>
        </w:rPr>
        <w:t xml:space="preserve"> </w:t>
      </w:r>
      <w:r w:rsidRPr="008D220A">
        <w:rPr>
          <w:rFonts w:ascii="Arial" w:hAnsi="Arial" w:cs="Arial"/>
          <w:sz w:val="24"/>
          <w:szCs w:val="24"/>
        </w:rPr>
        <w:t xml:space="preserve">of Ukraine and targeting minimum 5000 specialists. </w:t>
      </w:r>
    </w:p>
    <w:p w14:paraId="027D9ECB" w14:textId="77777777" w:rsidR="006D44D6" w:rsidRPr="008D220A" w:rsidRDefault="006D44D6" w:rsidP="00A26C5C">
      <w:pPr>
        <w:contextualSpacing/>
        <w:jc w:val="both"/>
        <w:rPr>
          <w:rFonts w:asciiTheme="minorHAnsi" w:hAnsiTheme="minorHAnsi" w:cstheme="minorHAnsi"/>
          <w:b/>
          <w:sz w:val="22"/>
          <w:szCs w:val="22"/>
        </w:rPr>
      </w:pPr>
    </w:p>
    <w:p w14:paraId="284186DF" w14:textId="77777777" w:rsidR="006D44D6" w:rsidRPr="008D220A" w:rsidRDefault="006D44D6" w:rsidP="00A26C5C">
      <w:pPr>
        <w:contextualSpacing/>
        <w:jc w:val="both"/>
        <w:rPr>
          <w:rFonts w:ascii="Arial" w:hAnsi="Arial" w:cs="Arial"/>
          <w:b/>
          <w:sz w:val="24"/>
          <w:szCs w:val="24"/>
        </w:rPr>
      </w:pPr>
      <w:r w:rsidRPr="008D220A">
        <w:rPr>
          <w:rFonts w:ascii="Arial" w:hAnsi="Arial" w:cs="Arial"/>
          <w:b/>
          <w:sz w:val="24"/>
          <w:szCs w:val="24"/>
        </w:rPr>
        <w:t>Total estimated number of trainings is 338 events, including:</w:t>
      </w:r>
    </w:p>
    <w:p w14:paraId="74DFEA88" w14:textId="77777777" w:rsidR="006D44D6" w:rsidRPr="008D220A" w:rsidRDefault="006D44D6" w:rsidP="00FA1AEC">
      <w:pPr>
        <w:pStyle w:val="af6"/>
        <w:numPr>
          <w:ilvl w:val="0"/>
          <w:numId w:val="28"/>
        </w:numPr>
        <w:spacing w:after="0" w:line="240" w:lineRule="auto"/>
        <w:ind w:left="0" w:firstLine="0"/>
        <w:jc w:val="both"/>
        <w:rPr>
          <w:rFonts w:ascii="Arial" w:hAnsi="Arial" w:cs="Arial"/>
          <w:sz w:val="24"/>
          <w:szCs w:val="24"/>
        </w:rPr>
      </w:pPr>
      <w:r w:rsidRPr="008D220A">
        <w:rPr>
          <w:rFonts w:ascii="Arial" w:hAnsi="Arial" w:cs="Arial"/>
          <w:b/>
          <w:sz w:val="24"/>
          <w:szCs w:val="24"/>
        </w:rPr>
        <w:t xml:space="preserve">72 oblast level trainings </w:t>
      </w:r>
      <w:r w:rsidRPr="008D220A">
        <w:rPr>
          <w:rFonts w:ascii="Arial" w:hAnsi="Arial" w:cs="Arial"/>
          <w:sz w:val="24"/>
          <w:szCs w:val="24"/>
        </w:rPr>
        <w:t xml:space="preserve">(24 oblasts x 3 separate events for the 3 target groups – 1) Representatives of agro-industrial enterprises, oblast and municipal level authorities/specialists of agro-industrial sector; 2) Representatives of oblast and municipal level authorities/specialists in housing and utilities sector, including public and private utilities’ representatives; 3) Representatives of oblast and municipal departments of environment and nature resources, environmental NGOs). </w:t>
      </w:r>
    </w:p>
    <w:p w14:paraId="53FE0804" w14:textId="71F25F89" w:rsidR="006D44D6" w:rsidRPr="008D220A" w:rsidRDefault="006D44D6" w:rsidP="00204355">
      <w:pPr>
        <w:pStyle w:val="af6"/>
        <w:numPr>
          <w:ilvl w:val="0"/>
          <w:numId w:val="28"/>
        </w:numPr>
        <w:spacing w:after="0" w:line="240" w:lineRule="auto"/>
        <w:ind w:left="0" w:firstLine="0"/>
        <w:jc w:val="both"/>
        <w:rPr>
          <w:rFonts w:ascii="Arial" w:hAnsi="Arial" w:cs="Arial"/>
          <w:sz w:val="24"/>
          <w:szCs w:val="24"/>
        </w:rPr>
      </w:pPr>
      <w:r w:rsidRPr="008D220A">
        <w:rPr>
          <w:rFonts w:ascii="Arial" w:hAnsi="Arial" w:cs="Arial"/>
          <w:b/>
          <w:sz w:val="24"/>
          <w:szCs w:val="24"/>
        </w:rPr>
        <w:t xml:space="preserve">266 reyon level trainings </w:t>
      </w:r>
      <w:r w:rsidRPr="008D220A">
        <w:rPr>
          <w:rFonts w:ascii="Arial" w:hAnsi="Arial" w:cs="Arial"/>
          <w:sz w:val="24"/>
          <w:szCs w:val="24"/>
        </w:rPr>
        <w:t>(133 rayons of Dnipropetrovs’k, Poltava, Ivano-Frankivs’k, Zakarpattia, Volyn’, Zhytomyr and Cherkasy oblasts x 2 separate events for the 2 target groups 1) Representatives of agricultural enterprises, rayon level authorities/specialists of agro-industrial sector;; 2) Representatives of rayon level authorities/specialists in housing and utilities sector, including public and private utilities’ representatives).</w:t>
      </w:r>
    </w:p>
    <w:p w14:paraId="715E3654" w14:textId="77777777" w:rsidR="006D44D6" w:rsidRPr="008D220A" w:rsidRDefault="006D44D6" w:rsidP="009A14C8">
      <w:pPr>
        <w:pStyle w:val="af6"/>
        <w:spacing w:after="0" w:line="240" w:lineRule="auto"/>
        <w:ind w:left="0"/>
        <w:jc w:val="both"/>
        <w:rPr>
          <w:rFonts w:ascii="Arial" w:hAnsi="Arial" w:cs="Arial"/>
          <w:sz w:val="24"/>
          <w:szCs w:val="24"/>
        </w:rPr>
      </w:pPr>
    </w:p>
    <w:p w14:paraId="7DAF33FE" w14:textId="456A886A" w:rsidR="00A26C5C" w:rsidRPr="008D220A" w:rsidRDefault="006D44D6" w:rsidP="00A26C5C">
      <w:pPr>
        <w:contextualSpacing/>
        <w:jc w:val="both"/>
        <w:rPr>
          <w:rFonts w:ascii="Arial" w:hAnsi="Arial" w:cs="Arial"/>
          <w:sz w:val="24"/>
          <w:szCs w:val="24"/>
        </w:rPr>
      </w:pPr>
      <w:r w:rsidRPr="008D220A">
        <w:rPr>
          <w:rFonts w:ascii="Arial" w:hAnsi="Arial" w:cs="Arial"/>
          <w:sz w:val="24"/>
          <w:szCs w:val="24"/>
        </w:rPr>
        <w:t xml:space="preserve">Apart from the obvious information and educational purposes, the trainings are to a) improve knowledge and capacities for analyzing opportunities and for developing, facilitating or coordinating biomass initiatives; b) catalyze biomass technologies utilization in Ukraine; c) raise awareness about </w:t>
      </w:r>
      <w:r w:rsidRPr="008D220A">
        <w:rPr>
          <w:rFonts w:ascii="Arial" w:hAnsi="Arial" w:cs="Arial"/>
          <w:spacing w:val="1"/>
          <w:sz w:val="24"/>
          <w:szCs w:val="24"/>
        </w:rPr>
        <w:t>fi</w:t>
      </w:r>
      <w:r w:rsidRPr="008D220A">
        <w:rPr>
          <w:rFonts w:ascii="Arial" w:hAnsi="Arial" w:cs="Arial"/>
          <w:sz w:val="24"/>
          <w:szCs w:val="24"/>
        </w:rPr>
        <w:t>nan</w:t>
      </w:r>
      <w:r w:rsidRPr="008D220A">
        <w:rPr>
          <w:rFonts w:ascii="Arial" w:hAnsi="Arial" w:cs="Arial"/>
          <w:spacing w:val="-2"/>
          <w:sz w:val="24"/>
          <w:szCs w:val="24"/>
        </w:rPr>
        <w:t>c</w:t>
      </w:r>
      <w:r w:rsidRPr="008D220A">
        <w:rPr>
          <w:rFonts w:ascii="Arial" w:hAnsi="Arial" w:cs="Arial"/>
          <w:spacing w:val="1"/>
          <w:sz w:val="24"/>
          <w:szCs w:val="24"/>
        </w:rPr>
        <w:t>i</w:t>
      </w:r>
      <w:r w:rsidRPr="008D220A">
        <w:rPr>
          <w:rFonts w:ascii="Arial" w:hAnsi="Arial" w:cs="Arial"/>
          <w:sz w:val="24"/>
          <w:szCs w:val="24"/>
        </w:rPr>
        <w:t>ng oppor</w:t>
      </w:r>
      <w:r w:rsidRPr="008D220A">
        <w:rPr>
          <w:rFonts w:ascii="Arial" w:hAnsi="Arial" w:cs="Arial"/>
          <w:spacing w:val="1"/>
          <w:sz w:val="24"/>
          <w:szCs w:val="24"/>
        </w:rPr>
        <w:t>t</w:t>
      </w:r>
      <w:r w:rsidRPr="008D220A">
        <w:rPr>
          <w:rFonts w:ascii="Arial" w:hAnsi="Arial" w:cs="Arial"/>
          <w:sz w:val="24"/>
          <w:szCs w:val="24"/>
        </w:rPr>
        <w:t>u</w:t>
      </w:r>
      <w:r w:rsidRPr="008D220A">
        <w:rPr>
          <w:rFonts w:ascii="Arial" w:hAnsi="Arial" w:cs="Arial"/>
          <w:spacing w:val="-3"/>
          <w:sz w:val="24"/>
          <w:szCs w:val="24"/>
        </w:rPr>
        <w:t>n</w:t>
      </w:r>
      <w:r w:rsidRPr="008D220A">
        <w:rPr>
          <w:rFonts w:ascii="Arial" w:hAnsi="Arial" w:cs="Arial"/>
          <w:spacing w:val="1"/>
          <w:sz w:val="24"/>
          <w:szCs w:val="24"/>
        </w:rPr>
        <w:t>i</w:t>
      </w:r>
      <w:r w:rsidRPr="008D220A">
        <w:rPr>
          <w:rFonts w:ascii="Arial" w:hAnsi="Arial" w:cs="Arial"/>
          <w:spacing w:val="-1"/>
          <w:sz w:val="24"/>
          <w:szCs w:val="24"/>
        </w:rPr>
        <w:t>t</w:t>
      </w:r>
      <w:r w:rsidRPr="008D220A">
        <w:rPr>
          <w:rFonts w:ascii="Arial" w:hAnsi="Arial" w:cs="Arial"/>
          <w:spacing w:val="1"/>
          <w:sz w:val="24"/>
          <w:szCs w:val="24"/>
        </w:rPr>
        <w:t>i</w:t>
      </w:r>
      <w:r w:rsidRPr="008D220A">
        <w:rPr>
          <w:rFonts w:ascii="Arial" w:hAnsi="Arial" w:cs="Arial"/>
          <w:sz w:val="24"/>
          <w:szCs w:val="24"/>
        </w:rPr>
        <w:t>es</w:t>
      </w:r>
      <w:r w:rsidRPr="008D220A">
        <w:rPr>
          <w:rFonts w:ascii="Arial" w:hAnsi="Arial" w:cs="Arial"/>
          <w:spacing w:val="-2"/>
          <w:sz w:val="24"/>
          <w:szCs w:val="24"/>
        </w:rPr>
        <w:t xml:space="preserve"> for EE (biomass) projects provided by </w:t>
      </w:r>
      <w:r w:rsidRPr="008D220A">
        <w:rPr>
          <w:rFonts w:ascii="Arial" w:hAnsi="Arial" w:cs="Arial"/>
          <w:sz w:val="24"/>
          <w:szCs w:val="24"/>
        </w:rPr>
        <w:t xml:space="preserve">the Financial Support Mechanism; and d) promote positive changes in attitudes. </w:t>
      </w:r>
    </w:p>
    <w:p w14:paraId="30234440" w14:textId="77777777" w:rsidR="006D44D6" w:rsidRPr="008D220A" w:rsidRDefault="006D44D6" w:rsidP="00A26C5C">
      <w:pPr>
        <w:contextualSpacing/>
        <w:jc w:val="both"/>
      </w:pPr>
    </w:p>
    <w:p w14:paraId="247651C6" w14:textId="73AD6B50" w:rsidR="000F1102" w:rsidRPr="008D220A" w:rsidRDefault="007D72EB" w:rsidP="00A26C5C">
      <w:pPr>
        <w:pStyle w:val="af6"/>
        <w:widowControl w:val="0"/>
        <w:overflowPunct w:val="0"/>
        <w:autoSpaceDE w:val="0"/>
        <w:autoSpaceDN w:val="0"/>
        <w:adjustRightInd w:val="0"/>
        <w:spacing w:after="0" w:line="240" w:lineRule="auto"/>
        <w:ind w:left="0"/>
        <w:jc w:val="both"/>
        <w:rPr>
          <w:rFonts w:ascii="Arial" w:hAnsi="Arial" w:cs="Arial"/>
          <w:b/>
          <w:bCs/>
          <w:sz w:val="24"/>
          <w:szCs w:val="24"/>
        </w:rPr>
      </w:pPr>
      <w:r w:rsidRPr="008D220A">
        <w:rPr>
          <w:rFonts w:ascii="Arial" w:hAnsi="Arial" w:cs="Arial"/>
          <w:b/>
          <w:bCs/>
          <w:sz w:val="24"/>
          <w:szCs w:val="24"/>
        </w:rPr>
        <w:t xml:space="preserve">First 50 trainings were conducted during December 2017 for </w:t>
      </w:r>
      <w:r w:rsidRPr="008D220A">
        <w:rPr>
          <w:rFonts w:ascii="Arial" w:hAnsi="Arial" w:cs="Arial"/>
          <w:b/>
          <w:sz w:val="24"/>
          <w:szCs w:val="24"/>
        </w:rPr>
        <w:t>authorities and specialists of agricultural and housing sectors</w:t>
      </w:r>
      <w:r w:rsidRPr="008D220A">
        <w:rPr>
          <w:rFonts w:ascii="Arial" w:hAnsi="Arial" w:cs="Arial"/>
          <w:b/>
          <w:bCs/>
          <w:sz w:val="24"/>
          <w:szCs w:val="24"/>
        </w:rPr>
        <w:t xml:space="preserve"> in rayons of Cherkasy</w:t>
      </w:r>
      <w:r w:rsidR="0000653F" w:rsidRPr="008D220A">
        <w:rPr>
          <w:rFonts w:ascii="Arial" w:hAnsi="Arial" w:cs="Arial"/>
          <w:b/>
          <w:bCs/>
          <w:sz w:val="24"/>
          <w:szCs w:val="24"/>
        </w:rPr>
        <w:t xml:space="preserve"> </w:t>
      </w:r>
      <w:r w:rsidR="005A55A9" w:rsidRPr="008D220A">
        <w:rPr>
          <w:rFonts w:ascii="Arial" w:hAnsi="Arial" w:cs="Arial"/>
          <w:b/>
          <w:bCs/>
          <w:sz w:val="24"/>
          <w:szCs w:val="24"/>
        </w:rPr>
        <w:t xml:space="preserve">oblast </w:t>
      </w:r>
      <w:r w:rsidR="0000653F" w:rsidRPr="008D220A">
        <w:rPr>
          <w:rFonts w:ascii="Arial" w:hAnsi="Arial" w:cs="Arial"/>
          <w:b/>
          <w:bCs/>
          <w:sz w:val="24"/>
          <w:szCs w:val="24"/>
        </w:rPr>
        <w:t>(40 trainings)</w:t>
      </w:r>
      <w:r w:rsidRPr="008D220A">
        <w:rPr>
          <w:rFonts w:ascii="Arial" w:hAnsi="Arial" w:cs="Arial"/>
          <w:b/>
          <w:bCs/>
          <w:sz w:val="24"/>
          <w:szCs w:val="24"/>
        </w:rPr>
        <w:t xml:space="preserve"> and </w:t>
      </w:r>
      <w:r w:rsidR="005A55A9" w:rsidRPr="008D220A">
        <w:rPr>
          <w:rFonts w:ascii="Arial" w:hAnsi="Arial" w:cs="Arial"/>
          <w:b/>
          <w:bCs/>
          <w:sz w:val="24"/>
          <w:szCs w:val="24"/>
        </w:rPr>
        <w:t>Zhytomyr obalst</w:t>
      </w:r>
      <w:r w:rsidR="0000653F" w:rsidRPr="008D220A">
        <w:rPr>
          <w:rFonts w:ascii="Arial" w:hAnsi="Arial" w:cs="Arial"/>
          <w:b/>
          <w:bCs/>
          <w:sz w:val="24"/>
          <w:szCs w:val="24"/>
        </w:rPr>
        <w:t xml:space="preserve"> (10 trainings)</w:t>
      </w:r>
      <w:r w:rsidRPr="008D220A">
        <w:rPr>
          <w:rFonts w:ascii="Arial" w:hAnsi="Arial" w:cs="Arial"/>
          <w:b/>
          <w:bCs/>
          <w:sz w:val="24"/>
          <w:szCs w:val="24"/>
        </w:rPr>
        <w:t>.</w:t>
      </w:r>
      <w:r w:rsidR="000F1102" w:rsidRPr="008D220A">
        <w:rPr>
          <w:rFonts w:ascii="Arial" w:hAnsi="Arial" w:cs="Arial"/>
          <w:b/>
          <w:bCs/>
          <w:sz w:val="24"/>
          <w:szCs w:val="24"/>
        </w:rPr>
        <w:t xml:space="preserve"> In total </w:t>
      </w:r>
      <w:r w:rsidR="0000653F" w:rsidRPr="008D220A">
        <w:rPr>
          <w:rFonts w:ascii="Arial" w:hAnsi="Arial" w:cs="Arial"/>
          <w:b/>
          <w:bCs/>
          <w:sz w:val="24"/>
          <w:szCs w:val="24"/>
        </w:rPr>
        <w:t xml:space="preserve">684 </w:t>
      </w:r>
      <w:r w:rsidR="005A55A9" w:rsidRPr="008D220A">
        <w:rPr>
          <w:rFonts w:ascii="Arial" w:hAnsi="Arial" w:cs="Arial"/>
          <w:b/>
          <w:bCs/>
          <w:sz w:val="24"/>
          <w:szCs w:val="24"/>
        </w:rPr>
        <w:t>persons</w:t>
      </w:r>
      <w:r w:rsidR="0000653F" w:rsidRPr="008D220A">
        <w:rPr>
          <w:rFonts w:ascii="Arial" w:hAnsi="Arial" w:cs="Arial"/>
          <w:b/>
          <w:bCs/>
          <w:sz w:val="24"/>
          <w:szCs w:val="24"/>
        </w:rPr>
        <w:t xml:space="preserve"> (327 men and 357 women)</w:t>
      </w:r>
      <w:r w:rsidR="005A55A9" w:rsidRPr="008D220A">
        <w:rPr>
          <w:rFonts w:ascii="Arial" w:hAnsi="Arial" w:cs="Arial"/>
          <w:b/>
          <w:bCs/>
          <w:sz w:val="24"/>
          <w:szCs w:val="24"/>
        </w:rPr>
        <w:t xml:space="preserve"> participated in the trainings. </w:t>
      </w:r>
    </w:p>
    <w:p w14:paraId="7E01B15C" w14:textId="70C0A6C2" w:rsidR="00223B61" w:rsidRPr="008D220A" w:rsidRDefault="00223B61" w:rsidP="00965E9D">
      <w:pPr>
        <w:pStyle w:val="af6"/>
        <w:widowControl w:val="0"/>
        <w:overflowPunct w:val="0"/>
        <w:autoSpaceDE w:val="0"/>
        <w:autoSpaceDN w:val="0"/>
        <w:adjustRightInd w:val="0"/>
        <w:spacing w:line="240" w:lineRule="auto"/>
        <w:ind w:left="0" w:right="-2"/>
        <w:jc w:val="both"/>
        <w:rPr>
          <w:rFonts w:ascii="Arial" w:hAnsi="Arial" w:cs="Arial"/>
          <w:bCs/>
          <w:sz w:val="24"/>
          <w:szCs w:val="24"/>
        </w:rPr>
      </w:pPr>
    </w:p>
    <w:p w14:paraId="5D7B512A" w14:textId="17876C63" w:rsidR="008E6BF9" w:rsidRPr="008D220A" w:rsidRDefault="008E6BF9" w:rsidP="003E1FF7">
      <w:pPr>
        <w:pStyle w:val="2"/>
        <w:spacing w:before="0" w:after="0"/>
        <w:jc w:val="both"/>
        <w:rPr>
          <w:lang w:val="en-US"/>
        </w:rPr>
      </w:pPr>
      <w:bookmarkStart w:id="26" w:name="_Toc376123031"/>
      <w:r w:rsidRPr="008D220A">
        <w:rPr>
          <w:lang w:val="en-US"/>
        </w:rPr>
        <w:t>3.</w:t>
      </w:r>
      <w:r w:rsidR="00E217CE" w:rsidRPr="008D220A">
        <w:rPr>
          <w:lang w:val="en-US"/>
        </w:rPr>
        <w:t>5</w:t>
      </w:r>
      <w:r w:rsidRPr="008D220A">
        <w:rPr>
          <w:lang w:val="en-US"/>
        </w:rPr>
        <w:t xml:space="preserve">. </w:t>
      </w:r>
      <w:r w:rsidR="00D52511" w:rsidRPr="008D220A">
        <w:rPr>
          <w:lang w:val="en-US"/>
        </w:rPr>
        <w:t>Bioenergy Outreach and Women Empowerment</w:t>
      </w:r>
      <w:bookmarkEnd w:id="26"/>
    </w:p>
    <w:p w14:paraId="5EE5A98C" w14:textId="77777777" w:rsidR="00F130F2" w:rsidRPr="008D220A" w:rsidRDefault="00A363B4" w:rsidP="003E1FF7">
      <w:pPr>
        <w:rPr>
          <w:rFonts w:ascii="Arial" w:hAnsi="Arial" w:cs="Arial"/>
          <w:sz w:val="24"/>
          <w:szCs w:val="24"/>
          <w:lang w:val="en-US"/>
        </w:rPr>
      </w:pPr>
      <w:r w:rsidRPr="008D220A">
        <w:rPr>
          <w:rFonts w:ascii="Arial" w:hAnsi="Arial" w:cs="Arial"/>
          <w:sz w:val="24"/>
          <w:szCs w:val="24"/>
          <w:lang w:val="en-US"/>
        </w:rPr>
        <w:t>l</w:t>
      </w:r>
    </w:p>
    <w:p w14:paraId="2DF5A26C" w14:textId="04B75FA1" w:rsidR="008B3AE3" w:rsidRPr="008D220A" w:rsidRDefault="008B3AE3" w:rsidP="008B3AE3">
      <w:pPr>
        <w:jc w:val="both"/>
        <w:rPr>
          <w:rFonts w:ascii="Arial" w:eastAsia="Calibri" w:hAnsi="Arial" w:cs="Arial"/>
          <w:sz w:val="24"/>
          <w:szCs w:val="24"/>
        </w:rPr>
      </w:pPr>
      <w:r w:rsidRPr="008D220A">
        <w:rPr>
          <w:rFonts w:ascii="Arial" w:eastAsia="Calibri" w:hAnsi="Arial" w:cs="Arial"/>
          <w:sz w:val="24"/>
          <w:szCs w:val="24"/>
        </w:rPr>
        <w:t>In Ukraine women teachers are the main drivers of</w:t>
      </w:r>
      <w:r w:rsidRPr="008D220A">
        <w:rPr>
          <w:rFonts w:ascii="Arial" w:hAnsi="Arial" w:cs="Arial"/>
          <w:sz w:val="24"/>
          <w:szCs w:val="24"/>
          <w:shd w:val="clear" w:color="auto" w:fill="FFFFFF"/>
          <w:lang w:val="en-US" w:eastAsia="ru-RU"/>
        </w:rPr>
        <w:t xml:space="preserve"> environmentally </w:t>
      </w:r>
      <w:r w:rsidRPr="008D220A">
        <w:rPr>
          <w:rFonts w:ascii="Arial" w:hAnsi="Arial" w:cs="Arial"/>
          <w:bCs/>
          <w:sz w:val="24"/>
          <w:szCs w:val="24"/>
          <w:lang w:val="en-US" w:eastAsia="ru-RU"/>
        </w:rPr>
        <w:t>responsible behavior</w:t>
      </w:r>
      <w:r w:rsidRPr="008D220A">
        <w:rPr>
          <w:rFonts w:ascii="Arial" w:hAnsi="Arial" w:cs="Arial"/>
          <w:sz w:val="24"/>
          <w:szCs w:val="24"/>
          <w:shd w:val="clear" w:color="auto" w:fill="FFFFFF"/>
          <w:lang w:val="en-US" w:eastAsia="ru-RU"/>
        </w:rPr>
        <w:t xml:space="preserve">  (as </w:t>
      </w:r>
      <w:r w:rsidRPr="008D220A">
        <w:rPr>
          <w:rFonts w:ascii="Arial" w:eastAsia="Calibri" w:hAnsi="Arial" w:cs="Arial"/>
          <w:sz w:val="24"/>
          <w:szCs w:val="24"/>
          <w:lang w:val="en-US"/>
        </w:rPr>
        <w:t xml:space="preserve">women </w:t>
      </w:r>
      <w:r w:rsidRPr="008D220A">
        <w:rPr>
          <w:rFonts w:ascii="Arial" w:eastAsia="Calibri" w:hAnsi="Arial" w:cs="Arial"/>
          <w:sz w:val="24"/>
          <w:szCs w:val="24"/>
        </w:rPr>
        <w:t>constitute about 80% of 693,3 thousand Ukrainian secondary and high school teachers)</w:t>
      </w:r>
      <w:r w:rsidR="00D52511" w:rsidRPr="008D220A">
        <w:rPr>
          <w:rFonts w:ascii="Arial" w:eastAsia="Calibri" w:hAnsi="Arial" w:cs="Arial"/>
          <w:sz w:val="24"/>
          <w:szCs w:val="24"/>
        </w:rPr>
        <w:t>.</w:t>
      </w:r>
    </w:p>
    <w:p w14:paraId="2E52F176" w14:textId="77777777" w:rsidR="00D52511" w:rsidRPr="008D220A" w:rsidRDefault="00D52511" w:rsidP="008B3AE3">
      <w:pPr>
        <w:jc w:val="both"/>
        <w:rPr>
          <w:rFonts w:ascii="Arial" w:eastAsia="Calibri" w:hAnsi="Arial" w:cs="Arial"/>
          <w:sz w:val="24"/>
          <w:szCs w:val="24"/>
        </w:rPr>
      </w:pPr>
    </w:p>
    <w:p w14:paraId="4364D5A9" w14:textId="651252A0" w:rsidR="008B3AE3" w:rsidRPr="008D220A" w:rsidRDefault="00D52511" w:rsidP="008B3AE3">
      <w:pPr>
        <w:jc w:val="both"/>
        <w:rPr>
          <w:rFonts w:ascii="Arial" w:eastAsia="Calibri" w:hAnsi="Arial" w:cs="Arial"/>
          <w:sz w:val="24"/>
          <w:szCs w:val="24"/>
        </w:rPr>
      </w:pPr>
      <w:r w:rsidRPr="008D220A">
        <w:rPr>
          <w:rFonts w:ascii="Arial" w:eastAsia="Calibri" w:hAnsi="Arial" w:cs="Arial"/>
          <w:sz w:val="24"/>
          <w:szCs w:val="24"/>
        </w:rPr>
        <w:t>The P</w:t>
      </w:r>
      <w:r w:rsidR="008B3AE3" w:rsidRPr="008D220A">
        <w:rPr>
          <w:rFonts w:ascii="Arial" w:eastAsia="Calibri" w:hAnsi="Arial" w:cs="Arial"/>
          <w:sz w:val="24"/>
          <w:szCs w:val="24"/>
        </w:rPr>
        <w:t>roject focuses to ensure that</w:t>
      </w:r>
      <w:r w:rsidRPr="008D220A">
        <w:rPr>
          <w:rFonts w:ascii="Arial" w:eastAsia="Calibri" w:hAnsi="Arial" w:cs="Arial"/>
          <w:sz w:val="24"/>
          <w:szCs w:val="24"/>
        </w:rPr>
        <w:t>,</w:t>
      </w:r>
      <w:r w:rsidR="008B3AE3" w:rsidRPr="008D220A">
        <w:rPr>
          <w:rFonts w:ascii="Arial" w:eastAsia="Calibri" w:hAnsi="Arial" w:cs="Arial"/>
          <w:sz w:val="24"/>
          <w:szCs w:val="24"/>
        </w:rPr>
        <w:t xml:space="preserve"> </w:t>
      </w:r>
      <w:r w:rsidRPr="008D220A">
        <w:rPr>
          <w:rFonts w:ascii="Arial" w:eastAsia="Calibri" w:hAnsi="Arial" w:cs="Arial"/>
          <w:sz w:val="24"/>
          <w:szCs w:val="24"/>
        </w:rPr>
        <w:t xml:space="preserve">along with other target groups, </w:t>
      </w:r>
      <w:r w:rsidR="008B3AE3" w:rsidRPr="008D220A">
        <w:rPr>
          <w:rFonts w:ascii="Arial" w:eastAsia="Calibri" w:hAnsi="Arial" w:cs="Arial"/>
          <w:sz w:val="24"/>
          <w:szCs w:val="24"/>
        </w:rPr>
        <w:t>women teachers are actively involved in shaping sustainable future</w:t>
      </w:r>
      <w:r w:rsidR="008B3AE3" w:rsidRPr="008D220A">
        <w:rPr>
          <w:rStyle w:val="EmailStyle16"/>
          <w:rFonts w:cs="Arial"/>
          <w:color w:val="auto"/>
          <w:sz w:val="24"/>
          <w:szCs w:val="24"/>
        </w:rPr>
        <w:t xml:space="preserve"> through participating in practical initiatives providing for quick, affordable and healthy school renovations (for example, biomass burning boilers installation and switching from burning fossil fuels to bioenergy).</w:t>
      </w:r>
    </w:p>
    <w:p w14:paraId="0E6598BA" w14:textId="77777777" w:rsidR="008B3AE3" w:rsidRPr="008D220A" w:rsidRDefault="008B3AE3" w:rsidP="008B3AE3">
      <w:pPr>
        <w:jc w:val="both"/>
        <w:rPr>
          <w:rFonts w:ascii="Arial" w:hAnsi="Arial" w:cs="Arial"/>
          <w:sz w:val="24"/>
          <w:szCs w:val="24"/>
          <w:shd w:val="clear" w:color="auto" w:fill="FFFFFF"/>
          <w:lang w:val="en-US" w:eastAsia="ru-RU"/>
        </w:rPr>
      </w:pPr>
    </w:p>
    <w:p w14:paraId="6AA0D35C" w14:textId="00CAC7A5" w:rsidR="008B3AE3" w:rsidRPr="008D220A" w:rsidRDefault="008B3AE3" w:rsidP="008B3AE3">
      <w:pPr>
        <w:jc w:val="both"/>
        <w:rPr>
          <w:rFonts w:ascii="Arial" w:hAnsi="Arial" w:cs="Arial"/>
          <w:sz w:val="24"/>
          <w:szCs w:val="24"/>
          <w:shd w:val="clear" w:color="auto" w:fill="FFFFFF"/>
        </w:rPr>
      </w:pPr>
      <w:r w:rsidRPr="008D220A">
        <w:rPr>
          <w:rFonts w:ascii="Arial" w:hAnsi="Arial" w:cs="Arial"/>
          <w:sz w:val="24"/>
          <w:szCs w:val="24"/>
        </w:rPr>
        <w:t xml:space="preserve">The </w:t>
      </w:r>
      <w:r w:rsidRPr="008D220A">
        <w:rPr>
          <w:rFonts w:ascii="Arial" w:eastAsia="Calibri" w:hAnsi="Arial" w:cs="Arial"/>
          <w:sz w:val="24"/>
          <w:szCs w:val="24"/>
        </w:rPr>
        <w:t xml:space="preserve">"Energy Efficient School" conference organized by </w:t>
      </w:r>
      <w:r w:rsidR="00041E57" w:rsidRPr="008D220A">
        <w:rPr>
          <w:rFonts w:ascii="Arial" w:eastAsia="Calibri" w:hAnsi="Arial" w:cs="Arial"/>
          <w:sz w:val="24"/>
          <w:szCs w:val="24"/>
        </w:rPr>
        <w:t>P</w:t>
      </w:r>
      <w:r w:rsidRPr="008D220A">
        <w:rPr>
          <w:rFonts w:ascii="Arial" w:eastAsia="Calibri" w:hAnsi="Arial" w:cs="Arial"/>
          <w:sz w:val="24"/>
          <w:szCs w:val="24"/>
        </w:rPr>
        <w:t>roject on 21-22 September 2017 in Kyiv targeted women teachers and suggested to use schools to drive green technologies</w:t>
      </w:r>
      <w:r w:rsidRPr="008D220A">
        <w:rPr>
          <w:rFonts w:ascii="Arial" w:hAnsi="Arial" w:cs="Arial"/>
          <w:sz w:val="24"/>
          <w:szCs w:val="24"/>
          <w:shd w:val="clear" w:color="auto" w:fill="FFFFFF"/>
        </w:rPr>
        <w:t xml:space="preserve"> providing efficient solutions for smart heating, efficient air conditioning etc., making school buildings the leading examples of innovations, low or zero emissions and high performance indoor environment. </w:t>
      </w:r>
    </w:p>
    <w:p w14:paraId="4E77BF29" w14:textId="77777777" w:rsidR="008B3AE3" w:rsidRPr="008D220A" w:rsidRDefault="008B3AE3" w:rsidP="008B3AE3">
      <w:pPr>
        <w:jc w:val="both"/>
        <w:rPr>
          <w:rFonts w:ascii="Arial" w:eastAsia="Calibri" w:hAnsi="Arial" w:cs="Arial"/>
          <w:sz w:val="24"/>
          <w:szCs w:val="24"/>
        </w:rPr>
      </w:pPr>
    </w:p>
    <w:p w14:paraId="62ED5957" w14:textId="0DCFC2D6" w:rsidR="008B3AE3" w:rsidRPr="008D220A" w:rsidRDefault="00041E57" w:rsidP="008B3AE3">
      <w:pPr>
        <w:jc w:val="both"/>
        <w:rPr>
          <w:rFonts w:ascii="Arial" w:eastAsia="Calibri" w:hAnsi="Arial" w:cs="Arial"/>
          <w:sz w:val="24"/>
          <w:szCs w:val="24"/>
        </w:rPr>
      </w:pPr>
      <w:r w:rsidRPr="008D220A">
        <w:rPr>
          <w:rFonts w:ascii="Arial" w:hAnsi="Arial" w:cs="Arial"/>
          <w:bCs/>
          <w:sz w:val="24"/>
          <w:szCs w:val="24"/>
        </w:rPr>
        <w:t xml:space="preserve">A key message to the audience </w:t>
      </w:r>
      <w:r w:rsidR="00DC6C70" w:rsidRPr="008D220A">
        <w:rPr>
          <w:rFonts w:ascii="Arial" w:hAnsi="Arial" w:cs="Arial"/>
          <w:bCs/>
          <w:sz w:val="24"/>
          <w:szCs w:val="24"/>
        </w:rPr>
        <w:t>was that ‘a</w:t>
      </w:r>
      <w:r w:rsidR="008B3AE3" w:rsidRPr="008D220A">
        <w:rPr>
          <w:rFonts w:ascii="Arial" w:hAnsi="Arial" w:cs="Arial"/>
          <w:bCs/>
          <w:sz w:val="24"/>
          <w:szCs w:val="24"/>
        </w:rPr>
        <w:t xml:space="preserve">n energy efficient sustainably renovated school apart from the indoor comfort and modernized facilities can offer pupils first-hand experience of visible improvements to the technical services systems; the teachers should </w:t>
      </w:r>
      <w:r w:rsidR="008B3AE3" w:rsidRPr="008D220A">
        <w:rPr>
          <w:rFonts w:ascii="Arial" w:hAnsi="Arial" w:cs="Arial"/>
          <w:bCs/>
          <w:sz w:val="24"/>
          <w:szCs w:val="24"/>
          <w:lang w:val="en-US"/>
        </w:rPr>
        <w:t>encourage</w:t>
      </w:r>
      <w:r w:rsidR="008B3AE3" w:rsidRPr="008D220A">
        <w:rPr>
          <w:rFonts w:ascii="Arial" w:hAnsi="Arial" w:cs="Arial"/>
          <w:bCs/>
          <w:sz w:val="24"/>
          <w:szCs w:val="24"/>
        </w:rPr>
        <w:t xml:space="preserve"> </w:t>
      </w:r>
      <w:r w:rsidR="008B3AE3" w:rsidRPr="008D220A">
        <w:rPr>
          <w:rFonts w:ascii="Arial" w:hAnsi="Arial" w:cs="Arial"/>
          <w:bCs/>
          <w:sz w:val="24"/>
          <w:szCs w:val="24"/>
        </w:rPr>
        <w:lastRenderedPageBreak/>
        <w:t>renovations and the use of bioenergy, and further teach how to support low emissions by proper energy management and help achieve energy savings by responsible user behaviour</w:t>
      </w:r>
      <w:r w:rsidR="00DC6C70" w:rsidRPr="008D220A">
        <w:rPr>
          <w:rFonts w:ascii="Arial" w:hAnsi="Arial" w:cs="Arial"/>
          <w:bCs/>
          <w:sz w:val="24"/>
          <w:szCs w:val="24"/>
        </w:rPr>
        <w:t>’</w:t>
      </w:r>
      <w:r w:rsidR="008B3AE3" w:rsidRPr="008D220A">
        <w:rPr>
          <w:rFonts w:ascii="Arial" w:hAnsi="Arial" w:cs="Arial"/>
          <w:bCs/>
          <w:sz w:val="24"/>
          <w:szCs w:val="24"/>
        </w:rPr>
        <w:t xml:space="preserve">. </w:t>
      </w:r>
      <w:r w:rsidR="008B3AE3" w:rsidRPr="008D220A">
        <w:rPr>
          <w:rFonts w:ascii="Arial" w:eastAsia="Calibri" w:hAnsi="Arial" w:cs="Arial"/>
          <w:sz w:val="24"/>
          <w:szCs w:val="24"/>
        </w:rPr>
        <w:t xml:space="preserve"> </w:t>
      </w:r>
    </w:p>
    <w:p w14:paraId="2C9C42DD" w14:textId="77777777" w:rsidR="00E32C9C" w:rsidRPr="008D220A" w:rsidRDefault="00E32C9C" w:rsidP="003D305E">
      <w:pPr>
        <w:jc w:val="both"/>
        <w:rPr>
          <w:rFonts w:ascii="Arial" w:hAnsi="Arial" w:cs="Arial"/>
          <w:sz w:val="24"/>
          <w:szCs w:val="24"/>
          <w:lang w:val="en-US"/>
        </w:rPr>
      </w:pPr>
    </w:p>
    <w:p w14:paraId="387872FF" w14:textId="7F06A8E2" w:rsidR="00965E9D" w:rsidRPr="008D220A" w:rsidRDefault="00965E9D" w:rsidP="003450D2">
      <w:pPr>
        <w:pStyle w:val="1"/>
        <w:rPr>
          <w:lang w:val="en-US"/>
        </w:rPr>
      </w:pPr>
      <w:bookmarkStart w:id="27" w:name="_Toc376123032"/>
      <w:r w:rsidRPr="008D220A">
        <w:rPr>
          <w:lang w:val="en-US"/>
        </w:rPr>
        <w:t>I</w:t>
      </w:r>
      <w:r w:rsidR="000C1A06" w:rsidRPr="008D220A">
        <w:rPr>
          <w:lang w:val="en-US"/>
        </w:rPr>
        <w:t xml:space="preserve">V. </w:t>
      </w:r>
      <w:r w:rsidRPr="008D220A">
        <w:rPr>
          <w:lang w:val="en-US"/>
        </w:rPr>
        <w:t>Challenges and outstanding issues</w:t>
      </w:r>
      <w:bookmarkEnd w:id="27"/>
    </w:p>
    <w:p w14:paraId="3C35EBF7" w14:textId="77777777" w:rsidR="00965E9D" w:rsidRPr="008D220A" w:rsidRDefault="00965E9D" w:rsidP="00965E9D"/>
    <w:p w14:paraId="5E5BEEEC" w14:textId="6815306E" w:rsidR="003450D2" w:rsidRPr="008D220A" w:rsidRDefault="00965E9D" w:rsidP="003450D2">
      <w:pPr>
        <w:jc w:val="both"/>
        <w:rPr>
          <w:rFonts w:ascii="Arial" w:hAnsi="Arial" w:cs="Arial"/>
          <w:sz w:val="24"/>
          <w:szCs w:val="24"/>
        </w:rPr>
      </w:pPr>
      <w:r w:rsidRPr="008D220A">
        <w:rPr>
          <w:rFonts w:ascii="Arial" w:hAnsi="Arial" w:cs="Arial"/>
          <w:sz w:val="24"/>
          <w:szCs w:val="24"/>
        </w:rPr>
        <w:t xml:space="preserve">Major challenges and implementation risks relate to ensuring proper outputs under the Outcome 2 (Capacity building to support municipal biomass programmes) and under Outcome 1 (Streamlined and comprehensive market-oriented policy and legal/regulatory framework to promote municipal biomass for heat and hot water services), especially related to ensuring appropriate institutional arrangements to support the regional biomass programmes. </w:t>
      </w:r>
      <w:r w:rsidR="003450D2" w:rsidRPr="008D220A">
        <w:rPr>
          <w:rFonts w:ascii="Arial" w:hAnsi="Arial" w:cs="Arial"/>
          <w:sz w:val="24"/>
          <w:szCs w:val="24"/>
        </w:rPr>
        <w:t>The Project is cooperating with various state and oblast level stakeholders – government agencies/ministries, local authorities, the Parliament, NGOs and Associations to intensify partnerships and government relations and mitigate the existing risks.</w:t>
      </w:r>
    </w:p>
    <w:p w14:paraId="0EBFBF37" w14:textId="77777777" w:rsidR="003450D2" w:rsidRPr="008D220A" w:rsidRDefault="003450D2" w:rsidP="003450D2">
      <w:pPr>
        <w:jc w:val="both"/>
        <w:rPr>
          <w:rFonts w:ascii="Arial" w:hAnsi="Arial" w:cs="Arial"/>
          <w:sz w:val="24"/>
          <w:szCs w:val="24"/>
        </w:rPr>
      </w:pPr>
    </w:p>
    <w:p w14:paraId="6879FAAB" w14:textId="5FB25408" w:rsidR="003450D2" w:rsidRPr="008D220A" w:rsidRDefault="003450D2" w:rsidP="003450D2">
      <w:pPr>
        <w:jc w:val="both"/>
        <w:rPr>
          <w:rFonts w:ascii="Arial" w:hAnsi="Arial" w:cs="Arial"/>
          <w:sz w:val="24"/>
          <w:szCs w:val="24"/>
        </w:rPr>
      </w:pPr>
      <w:r w:rsidRPr="008D220A">
        <w:rPr>
          <w:rFonts w:ascii="Arial" w:hAnsi="Arial" w:cs="Arial"/>
          <w:sz w:val="24"/>
          <w:szCs w:val="24"/>
        </w:rPr>
        <w:t>Another important risk faced by the project is related to operationalization of the FSM. Initial challenges involving selection of and finalizing agreements with financial partner, IFC, have been eventually successfully overcome. The remaining risks are related to a) ability of OschadBank to effectively launch new product “energy credit for municipalities”, but also and most importantly for municipalities to come up with a solid pipeline of bankable biomass projects. To address those risks, the project’s financial partner, IFC, will continue working with and supporting OschadBank and municipalities to help them obtain required credit rating, while in parallel project team will intensify outreach to and capacity building of municipalities to help them understand the FSM, identify and fully prepare biomass projects for funding.</w:t>
      </w:r>
    </w:p>
    <w:p w14:paraId="44E9FD97" w14:textId="77777777" w:rsidR="003450D2" w:rsidRPr="008D220A" w:rsidRDefault="003450D2" w:rsidP="003450D2">
      <w:pPr>
        <w:jc w:val="both"/>
        <w:rPr>
          <w:rFonts w:ascii="Arial" w:hAnsi="Arial" w:cs="Arial"/>
          <w:sz w:val="24"/>
          <w:szCs w:val="24"/>
        </w:rPr>
      </w:pPr>
    </w:p>
    <w:p w14:paraId="574EB05D" w14:textId="5CBD2E14" w:rsidR="003450D2" w:rsidRPr="008D220A" w:rsidRDefault="003450D2" w:rsidP="003450D2">
      <w:pPr>
        <w:jc w:val="both"/>
        <w:rPr>
          <w:rFonts w:ascii="Arial" w:hAnsi="Arial" w:cs="Arial"/>
          <w:sz w:val="24"/>
          <w:szCs w:val="24"/>
        </w:rPr>
      </w:pPr>
      <w:r w:rsidRPr="008D220A">
        <w:rPr>
          <w:rFonts w:ascii="Arial" w:hAnsi="Arial" w:cs="Arial"/>
          <w:sz w:val="24"/>
          <w:szCs w:val="24"/>
        </w:rPr>
        <w:t xml:space="preserve">An outstanding issue is that as of 31.12.2017 the project extension request, submitted to UNDP-GEF HQ back in </w:t>
      </w:r>
      <w:r w:rsidR="005E0015" w:rsidRPr="008D220A">
        <w:rPr>
          <w:rFonts w:ascii="Arial" w:hAnsi="Arial" w:cs="Arial"/>
          <w:sz w:val="24"/>
          <w:szCs w:val="24"/>
        </w:rPr>
        <w:t xml:space="preserve">July </w:t>
      </w:r>
      <w:r w:rsidRPr="008D220A">
        <w:rPr>
          <w:rFonts w:ascii="Arial" w:hAnsi="Arial" w:cs="Arial"/>
          <w:sz w:val="24"/>
          <w:szCs w:val="24"/>
        </w:rPr>
        <w:t xml:space="preserve">2017, has not been either approved or rejected, making it difficult for the project to plan for the next budget period and beyond, if relevant. </w:t>
      </w:r>
    </w:p>
    <w:p w14:paraId="6D175E58" w14:textId="77777777" w:rsidR="003450D2" w:rsidRPr="008D220A" w:rsidRDefault="003450D2" w:rsidP="003450D2">
      <w:pPr>
        <w:jc w:val="both"/>
        <w:rPr>
          <w:rFonts w:ascii="Arial" w:hAnsi="Arial" w:cs="Arial"/>
          <w:sz w:val="24"/>
          <w:szCs w:val="24"/>
        </w:rPr>
      </w:pPr>
    </w:p>
    <w:p w14:paraId="2A3357E5" w14:textId="77777777" w:rsidR="003450D2" w:rsidRPr="008D220A" w:rsidRDefault="003450D2" w:rsidP="003450D2">
      <w:pPr>
        <w:jc w:val="both"/>
        <w:rPr>
          <w:rFonts w:ascii="Arial" w:hAnsi="Arial" w:cs="Arial"/>
          <w:sz w:val="24"/>
          <w:szCs w:val="24"/>
        </w:rPr>
      </w:pPr>
    </w:p>
    <w:p w14:paraId="7FE0657E" w14:textId="1EC5F2CA" w:rsidR="00965E9D" w:rsidRPr="008D220A" w:rsidRDefault="00965E9D" w:rsidP="003450D2">
      <w:pPr>
        <w:jc w:val="both"/>
        <w:rPr>
          <w:rFonts w:ascii="Arial" w:hAnsi="Arial" w:cs="Arial"/>
          <w:sz w:val="24"/>
          <w:szCs w:val="24"/>
        </w:rPr>
      </w:pPr>
    </w:p>
    <w:p w14:paraId="5EA29034" w14:textId="77777777" w:rsidR="00965E9D" w:rsidRPr="008D220A" w:rsidRDefault="00965E9D" w:rsidP="003450D2">
      <w:pPr>
        <w:jc w:val="both"/>
        <w:rPr>
          <w:rFonts w:ascii="Arial" w:hAnsi="Arial" w:cs="Arial"/>
          <w:sz w:val="24"/>
          <w:szCs w:val="24"/>
        </w:rPr>
      </w:pPr>
      <w:r w:rsidRPr="008D220A">
        <w:rPr>
          <w:rFonts w:ascii="Arial" w:hAnsi="Arial" w:cs="Arial"/>
          <w:sz w:val="24"/>
          <w:szCs w:val="24"/>
        </w:rPr>
        <w:t xml:space="preserve"> </w:t>
      </w:r>
    </w:p>
    <w:p w14:paraId="50D5F672" w14:textId="77777777" w:rsidR="00312CD1" w:rsidRPr="008D220A" w:rsidRDefault="00312CD1" w:rsidP="008A4886">
      <w:pPr>
        <w:rPr>
          <w:lang w:val="en-US"/>
        </w:rPr>
      </w:pPr>
    </w:p>
    <w:p w14:paraId="3B5C4131" w14:textId="77777777" w:rsidR="00312CD1" w:rsidRPr="008D220A" w:rsidRDefault="00312CD1" w:rsidP="008A4886">
      <w:pPr>
        <w:rPr>
          <w:lang w:val="en-US"/>
        </w:rPr>
      </w:pPr>
    </w:p>
    <w:p w14:paraId="5D3DBD1B" w14:textId="77777777" w:rsidR="008C0682" w:rsidRPr="008D220A" w:rsidRDefault="008C0682" w:rsidP="008A4886">
      <w:pPr>
        <w:rPr>
          <w:lang w:val="en-US"/>
        </w:rPr>
      </w:pPr>
    </w:p>
    <w:sectPr w:rsidR="008C0682" w:rsidRPr="008D220A" w:rsidSect="003E1FF7">
      <w:headerReference w:type="default" r:id="rId25"/>
      <w:footerReference w:type="default" r:id="rId26"/>
      <w:pgSz w:w="11906" w:h="16838" w:code="9"/>
      <w:pgMar w:top="1134" w:right="851" w:bottom="851" w:left="1134" w:header="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E594E" w14:textId="77777777" w:rsidR="00D234E7" w:rsidRDefault="00D234E7">
      <w:r>
        <w:separator/>
      </w:r>
    </w:p>
  </w:endnote>
  <w:endnote w:type="continuationSeparator" w:id="0">
    <w:p w14:paraId="00E70D64" w14:textId="77777777" w:rsidR="00D234E7" w:rsidRDefault="00D2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yriad Pro">
    <w:altName w:val="Arial"/>
    <w:panose1 w:val="020B0503030403020204"/>
    <w:charset w:val="00"/>
    <w:family w:val="swiss"/>
    <w:notTrueType/>
    <w:pitch w:val="variable"/>
    <w:sig w:usb0="A00002AF"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Pro-Regular">
    <w:altName w:val="Malgun Gothic"/>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19"/>
      <w:gridCol w:w="4819"/>
    </w:tblGrid>
    <w:tr w:rsidR="007929DF" w:rsidRPr="002D1914" w14:paraId="10EBB7A1" w14:textId="77777777" w:rsidTr="002D1914">
      <w:tc>
        <w:tcPr>
          <w:tcW w:w="4819" w:type="dxa"/>
          <w:tcBorders>
            <w:top w:val="single" w:sz="4" w:space="0" w:color="auto"/>
          </w:tcBorders>
        </w:tcPr>
        <w:p w14:paraId="4A22B247" w14:textId="5FCD79C2" w:rsidR="007929DF" w:rsidRPr="002D1914" w:rsidRDefault="007929DF" w:rsidP="00910354">
          <w:pPr>
            <w:pStyle w:val="ac"/>
            <w:rPr>
              <w:rFonts w:ascii="Verdana" w:hAnsi="Verdana"/>
              <w:sz w:val="16"/>
              <w:szCs w:val="16"/>
            </w:rPr>
          </w:pPr>
          <w:r w:rsidRPr="002D1914">
            <w:rPr>
              <w:rFonts w:ascii="Verdana" w:hAnsi="Verdana"/>
              <w:sz w:val="16"/>
              <w:szCs w:val="16"/>
            </w:rPr>
            <w:t xml:space="preserve">Project </w:t>
          </w:r>
          <w:r>
            <w:rPr>
              <w:rFonts w:ascii="Verdana" w:hAnsi="Verdana"/>
              <w:sz w:val="16"/>
              <w:szCs w:val="16"/>
            </w:rPr>
            <w:t xml:space="preserve">Progress </w:t>
          </w:r>
          <w:r w:rsidRPr="002D1914">
            <w:rPr>
              <w:rFonts w:ascii="Verdana" w:hAnsi="Verdana"/>
              <w:sz w:val="16"/>
              <w:szCs w:val="16"/>
            </w:rPr>
            <w:t xml:space="preserve">Report </w:t>
          </w:r>
          <w:r>
            <w:rPr>
              <w:rFonts w:ascii="Verdana" w:hAnsi="Verdana"/>
              <w:sz w:val="16"/>
              <w:szCs w:val="16"/>
            </w:rPr>
            <w:t>2017</w:t>
          </w:r>
        </w:p>
      </w:tc>
      <w:tc>
        <w:tcPr>
          <w:tcW w:w="4819" w:type="dxa"/>
          <w:tcBorders>
            <w:top w:val="single" w:sz="4" w:space="0" w:color="auto"/>
          </w:tcBorders>
        </w:tcPr>
        <w:p w14:paraId="301E2E87" w14:textId="5E86E7C7" w:rsidR="007929DF" w:rsidRPr="002D1914" w:rsidRDefault="007929DF" w:rsidP="002D1914">
          <w:pPr>
            <w:pStyle w:val="ac"/>
            <w:jc w:val="right"/>
            <w:rPr>
              <w:rFonts w:ascii="Verdana" w:hAnsi="Verdana"/>
              <w:sz w:val="16"/>
              <w:szCs w:val="16"/>
            </w:rPr>
          </w:pPr>
          <w:r w:rsidRPr="002D1914">
            <w:rPr>
              <w:rFonts w:ascii="Verdana" w:hAnsi="Verdana"/>
              <w:sz w:val="16"/>
              <w:szCs w:val="16"/>
            </w:rPr>
            <w:t xml:space="preserve">Page </w:t>
          </w:r>
          <w:r w:rsidRPr="002D1914">
            <w:rPr>
              <w:rFonts w:ascii="Verdana" w:hAnsi="Verdana"/>
              <w:sz w:val="16"/>
              <w:szCs w:val="16"/>
            </w:rPr>
            <w:fldChar w:fldCharType="begin"/>
          </w:r>
          <w:r w:rsidRPr="002D1914">
            <w:rPr>
              <w:rFonts w:ascii="Verdana" w:hAnsi="Verdana"/>
              <w:sz w:val="16"/>
              <w:szCs w:val="16"/>
            </w:rPr>
            <w:instrText xml:space="preserve"> PAGE </w:instrText>
          </w:r>
          <w:r w:rsidRPr="002D1914">
            <w:rPr>
              <w:rFonts w:ascii="Verdana" w:hAnsi="Verdana"/>
              <w:sz w:val="16"/>
              <w:szCs w:val="16"/>
            </w:rPr>
            <w:fldChar w:fldCharType="separate"/>
          </w:r>
          <w:r w:rsidR="009B4A94">
            <w:rPr>
              <w:rFonts w:ascii="Verdana" w:hAnsi="Verdana"/>
              <w:noProof/>
              <w:sz w:val="16"/>
              <w:szCs w:val="16"/>
            </w:rPr>
            <w:t>21</w:t>
          </w:r>
          <w:r w:rsidRPr="002D1914">
            <w:rPr>
              <w:rFonts w:ascii="Verdana" w:hAnsi="Verdana"/>
              <w:sz w:val="16"/>
              <w:szCs w:val="16"/>
            </w:rPr>
            <w:fldChar w:fldCharType="end"/>
          </w:r>
          <w:r w:rsidRPr="002D1914">
            <w:rPr>
              <w:rFonts w:ascii="Verdana" w:hAnsi="Verdana"/>
              <w:sz w:val="16"/>
              <w:szCs w:val="16"/>
            </w:rPr>
            <w:t xml:space="preserve"> of </w:t>
          </w:r>
          <w:r w:rsidRPr="002D1914">
            <w:rPr>
              <w:rFonts w:ascii="Verdana" w:hAnsi="Verdana"/>
              <w:sz w:val="16"/>
              <w:szCs w:val="16"/>
            </w:rPr>
            <w:fldChar w:fldCharType="begin"/>
          </w:r>
          <w:r w:rsidRPr="002D1914">
            <w:rPr>
              <w:rFonts w:ascii="Verdana" w:hAnsi="Verdana"/>
              <w:sz w:val="16"/>
              <w:szCs w:val="16"/>
            </w:rPr>
            <w:instrText xml:space="preserve"> NUMPAGES </w:instrText>
          </w:r>
          <w:r w:rsidRPr="002D1914">
            <w:rPr>
              <w:rFonts w:ascii="Verdana" w:hAnsi="Verdana"/>
              <w:sz w:val="16"/>
              <w:szCs w:val="16"/>
            </w:rPr>
            <w:fldChar w:fldCharType="separate"/>
          </w:r>
          <w:r w:rsidR="009B4A94">
            <w:rPr>
              <w:rFonts w:ascii="Verdana" w:hAnsi="Verdana"/>
              <w:noProof/>
              <w:sz w:val="16"/>
              <w:szCs w:val="16"/>
            </w:rPr>
            <w:t>24</w:t>
          </w:r>
          <w:r w:rsidRPr="002D1914">
            <w:rPr>
              <w:rFonts w:ascii="Verdana" w:hAnsi="Verdana"/>
              <w:sz w:val="16"/>
              <w:szCs w:val="16"/>
            </w:rPr>
            <w:fldChar w:fldCharType="end"/>
          </w:r>
        </w:p>
      </w:tc>
    </w:tr>
  </w:tbl>
  <w:p w14:paraId="3DF05303" w14:textId="77777777" w:rsidR="007929DF" w:rsidRPr="002E56D1" w:rsidRDefault="007929DF">
    <w:pPr>
      <w:pStyle w:val="ac"/>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2827" w14:textId="77777777" w:rsidR="00D234E7" w:rsidRDefault="00D234E7">
      <w:r>
        <w:separator/>
      </w:r>
    </w:p>
  </w:footnote>
  <w:footnote w:type="continuationSeparator" w:id="0">
    <w:p w14:paraId="55937BFB" w14:textId="77777777" w:rsidR="00D234E7" w:rsidRDefault="00D234E7">
      <w:r>
        <w:continuationSeparator/>
      </w:r>
    </w:p>
  </w:footnote>
  <w:footnote w:id="1">
    <w:p w14:paraId="22B65B8D" w14:textId="653CF8D8" w:rsidR="007929DF" w:rsidRPr="00684AC0" w:rsidRDefault="007929DF">
      <w:pPr>
        <w:pStyle w:val="afa"/>
        <w:rPr>
          <w:lang w:val="en-US"/>
        </w:rPr>
      </w:pPr>
      <w:r>
        <w:rPr>
          <w:rStyle w:val="aff1"/>
        </w:rPr>
        <w:footnoteRef/>
      </w:r>
      <w:r>
        <w:t xml:space="preserve"> Page 11 of the </w:t>
      </w:r>
      <w:r>
        <w:rPr>
          <w:lang w:val="en-US"/>
        </w:rPr>
        <w:t xml:space="preserve">MTR Report  </w:t>
      </w:r>
    </w:p>
  </w:footnote>
  <w:footnote w:id="2">
    <w:p w14:paraId="42E2C7B5" w14:textId="71DF29DA" w:rsidR="007929DF" w:rsidRPr="005826C0" w:rsidRDefault="007929DF" w:rsidP="00684AC0">
      <w:pPr>
        <w:pStyle w:val="afa"/>
        <w:rPr>
          <w:rFonts w:asciiTheme="minorHAnsi" w:hAnsiTheme="minorHAnsi" w:cstheme="minorHAnsi"/>
          <w:sz w:val="18"/>
          <w:lang w:val="en-US"/>
        </w:rPr>
      </w:pPr>
      <w:r w:rsidRPr="005826C0">
        <w:rPr>
          <w:rStyle w:val="aff1"/>
          <w:rFonts w:asciiTheme="minorHAnsi" w:hAnsiTheme="minorHAnsi" w:cstheme="minorHAnsi"/>
          <w:sz w:val="18"/>
        </w:rPr>
        <w:footnoteRef/>
      </w:r>
      <w:r w:rsidRPr="005826C0">
        <w:rPr>
          <w:rFonts w:asciiTheme="minorHAnsi" w:hAnsiTheme="minorHAnsi" w:cstheme="minorHAnsi"/>
          <w:sz w:val="18"/>
        </w:rPr>
        <w:t xml:space="preserve"> </w:t>
      </w:r>
      <w:r w:rsidRPr="005826C0">
        <w:rPr>
          <w:rFonts w:asciiTheme="minorHAnsi" w:hAnsiTheme="minorHAnsi" w:cstheme="minorHAnsi"/>
          <w:sz w:val="18"/>
          <w:lang w:val="en-US"/>
        </w:rPr>
        <w:t xml:space="preserve">Numbers of recommendations </w:t>
      </w:r>
      <w:r>
        <w:rPr>
          <w:rFonts w:asciiTheme="minorHAnsi" w:hAnsiTheme="minorHAnsi" w:cstheme="minorHAnsi"/>
          <w:sz w:val="18"/>
          <w:lang w:val="en-US"/>
        </w:rPr>
        <w:t xml:space="preserve">in this table correspond to those in </w:t>
      </w:r>
      <w:r w:rsidRPr="005826C0">
        <w:rPr>
          <w:rFonts w:asciiTheme="minorHAnsi" w:hAnsiTheme="minorHAnsi" w:cstheme="minorHAnsi"/>
          <w:sz w:val="18"/>
          <w:lang w:val="en-US"/>
        </w:rPr>
        <w:t>Chapter 5.2</w:t>
      </w:r>
      <w:r>
        <w:rPr>
          <w:rFonts w:asciiTheme="minorHAnsi" w:hAnsiTheme="minorHAnsi" w:cstheme="minorHAnsi"/>
          <w:sz w:val="18"/>
          <w:lang w:val="en-US"/>
        </w:rPr>
        <w:t xml:space="preserve"> of the MTR Report describing the recommendations in detail</w:t>
      </w:r>
    </w:p>
  </w:footnote>
  <w:footnote w:id="3">
    <w:p w14:paraId="673CEBF9" w14:textId="3EF62F37" w:rsidR="007929DF" w:rsidRPr="00B04BC5" w:rsidRDefault="007929DF" w:rsidP="00D8715A">
      <w:pPr>
        <w:pStyle w:val="afa"/>
        <w:rPr>
          <w:sz w:val="16"/>
          <w:szCs w:val="16"/>
          <w:lang w:val="en-US"/>
        </w:rPr>
      </w:pPr>
    </w:p>
  </w:footnote>
  <w:footnote w:id="4">
    <w:p w14:paraId="7C80DF16" w14:textId="77777777" w:rsidR="007929DF" w:rsidRDefault="007929DF" w:rsidP="00D22BE0">
      <w:pPr>
        <w:pStyle w:val="afa"/>
      </w:pPr>
      <w:r>
        <w:rPr>
          <w:rStyle w:val="aff1"/>
        </w:rPr>
        <w:footnoteRef/>
      </w:r>
      <w:r>
        <w:t xml:space="preserve"> </w:t>
      </w:r>
      <w:r w:rsidRPr="00205D4A">
        <w:t>http://zakon2.rada.gov.ua/laws/show/1817-19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C139" w14:textId="77777777" w:rsidR="007929DF" w:rsidRDefault="007929DF">
    <w:pPr>
      <w:pStyle w:val="a7"/>
      <w:rPr>
        <w:rStyle w:val="Style1"/>
        <w:rFonts w:asciiTheme="minorHAnsi" w:hAnsiTheme="minorHAnsi" w:cs="Arial"/>
        <w:color w:val="000000" w:themeColor="text1"/>
        <w:sz w:val="18"/>
        <w:szCs w:val="18"/>
      </w:rPr>
    </w:pPr>
  </w:p>
  <w:p w14:paraId="50B94767" w14:textId="77777777" w:rsidR="007929DF" w:rsidRPr="00F2755D" w:rsidRDefault="007929DF">
    <w:pPr>
      <w:pStyle w:val="a7"/>
      <w:rPr>
        <w:rFonts w:asciiTheme="minorHAnsi" w:hAnsiTheme="minorHAnsi" w:cs="Arial"/>
        <w:color w:val="000000" w:themeColor="text1"/>
        <w:sz w:val="18"/>
        <w:szCs w:val="18"/>
      </w:rPr>
    </w:pPr>
    <w:r>
      <w:rPr>
        <w:rStyle w:val="Style1"/>
        <w:rFonts w:asciiTheme="minorHAnsi" w:hAnsiTheme="minorHAnsi" w:cs="Arial"/>
        <w:color w:val="000000" w:themeColor="text1"/>
        <w:sz w:val="18"/>
        <w:szCs w:val="18"/>
      </w:rPr>
      <w:t>Development and commercialization of bioenergy technologies in the municipal sector in Ukraine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2"/>
      <w:numFmt w:val="bullet"/>
      <w:lvlText w:val="-"/>
      <w:lvlJc w:val="left"/>
      <w:pPr>
        <w:tabs>
          <w:tab w:val="num" w:pos="1065"/>
        </w:tabs>
        <w:ind w:left="1065" w:hanging="705"/>
      </w:pPr>
      <w:rPr>
        <w:rFonts w:ascii="Arial" w:hAnsi="Arial"/>
        <w:sz w:val="20"/>
      </w:rPr>
    </w:lvl>
  </w:abstractNum>
  <w:abstractNum w:abstractNumId="1" w15:restartNumberingAfterBreak="0">
    <w:nsid w:val="02354A89"/>
    <w:multiLevelType w:val="hybridMultilevel"/>
    <w:tmpl w:val="7422CF9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1C7686"/>
    <w:multiLevelType w:val="hybridMultilevel"/>
    <w:tmpl w:val="AB1E4028"/>
    <w:lvl w:ilvl="0" w:tplc="2698DF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62A0D94"/>
    <w:multiLevelType w:val="hybridMultilevel"/>
    <w:tmpl w:val="2E9C86BA"/>
    <w:lvl w:ilvl="0" w:tplc="138C3C36">
      <w:start w:val="1"/>
      <w:numFmt w:val="bullet"/>
      <w:pStyle w:val="a"/>
      <w:lvlText w:val=""/>
      <w:lvlJc w:val="left"/>
      <w:pPr>
        <w:tabs>
          <w:tab w:val="num" w:pos="567"/>
        </w:tabs>
        <w:ind w:left="567"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473DB"/>
    <w:multiLevelType w:val="hybridMultilevel"/>
    <w:tmpl w:val="D5BC12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D2979"/>
    <w:multiLevelType w:val="hybridMultilevel"/>
    <w:tmpl w:val="68F4E56A"/>
    <w:lvl w:ilvl="0" w:tplc="A978F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1378E"/>
    <w:multiLevelType w:val="hybridMultilevel"/>
    <w:tmpl w:val="94C4CFE0"/>
    <w:lvl w:ilvl="0" w:tplc="F1165E5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72634"/>
    <w:multiLevelType w:val="hybridMultilevel"/>
    <w:tmpl w:val="92184DE6"/>
    <w:lvl w:ilvl="0" w:tplc="9EB045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02317F"/>
    <w:multiLevelType w:val="hybridMultilevel"/>
    <w:tmpl w:val="65D4D96A"/>
    <w:lvl w:ilvl="0" w:tplc="5D5C013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7E4F19"/>
    <w:multiLevelType w:val="multilevel"/>
    <w:tmpl w:val="963C1E9E"/>
    <w:lvl w:ilvl="0">
      <w:start w:val="1"/>
      <w:numFmt w:val="bullet"/>
      <w:lvlText w:val="-"/>
      <w:lvlJc w:val="left"/>
      <w:pPr>
        <w:ind w:left="360" w:hanging="360"/>
      </w:pPr>
      <w:rPr>
        <w:rFonts w:hAnsi="Symbol" w:hint="eastAsia"/>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15:restartNumberingAfterBreak="0">
    <w:nsid w:val="2B4E0D18"/>
    <w:multiLevelType w:val="hybridMultilevel"/>
    <w:tmpl w:val="8ED85B60"/>
    <w:lvl w:ilvl="0" w:tplc="BC7C8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B3099"/>
    <w:multiLevelType w:val="hybridMultilevel"/>
    <w:tmpl w:val="4E580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07469"/>
    <w:multiLevelType w:val="hybridMultilevel"/>
    <w:tmpl w:val="4B6AA9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832303"/>
    <w:multiLevelType w:val="hybridMultilevel"/>
    <w:tmpl w:val="C8667E7E"/>
    <w:lvl w:ilvl="0" w:tplc="4E9E9312">
      <w:start w:val="1"/>
      <w:numFmt w:val="lowerLetter"/>
      <w:lvlText w:val="%1."/>
      <w:lvlJc w:val="left"/>
      <w:pPr>
        <w:ind w:left="768" w:hanging="360"/>
      </w:pPr>
      <w:rPr>
        <w:rFonts w:ascii="Arial" w:hAnsi="Arial" w:hint="default"/>
        <w:b w:val="0"/>
        <w:bCs w:val="0"/>
        <w:i w:val="0"/>
        <w:iCs w:val="0"/>
        <w:sz w:val="28"/>
        <w:szCs w:val="28"/>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15:restartNumberingAfterBreak="0">
    <w:nsid w:val="41C43496"/>
    <w:multiLevelType w:val="hybridMultilevel"/>
    <w:tmpl w:val="FA90F11A"/>
    <w:lvl w:ilvl="0" w:tplc="F6F4840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AFE"/>
    <w:multiLevelType w:val="hybridMultilevel"/>
    <w:tmpl w:val="E9A6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87270"/>
    <w:multiLevelType w:val="multilevel"/>
    <w:tmpl w:val="02DC2FF2"/>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302F43"/>
    <w:multiLevelType w:val="hybridMultilevel"/>
    <w:tmpl w:val="B0C61D14"/>
    <w:lvl w:ilvl="0" w:tplc="1C28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B2BF8"/>
    <w:multiLevelType w:val="hybridMultilevel"/>
    <w:tmpl w:val="E89A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270E6"/>
    <w:multiLevelType w:val="hybridMultilevel"/>
    <w:tmpl w:val="DCECDB58"/>
    <w:lvl w:ilvl="0" w:tplc="506A69C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C50FB7"/>
    <w:multiLevelType w:val="hybridMultilevel"/>
    <w:tmpl w:val="8974A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959DE"/>
    <w:multiLevelType w:val="hybridMultilevel"/>
    <w:tmpl w:val="A5B247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0A9720A"/>
    <w:multiLevelType w:val="multilevel"/>
    <w:tmpl w:val="CE2AC89A"/>
    <w:lvl w:ilvl="0">
      <w:start w:val="1"/>
      <w:numFmt w:val="decimal"/>
      <w:lvlText w:val="%1."/>
      <w:lvlJc w:val="left"/>
      <w:pPr>
        <w:ind w:left="360" w:hanging="360"/>
      </w:pPr>
      <w:rPr>
        <w:rFonts w:hint="default"/>
        <w:color w:val="000000" w:themeColor="text1"/>
      </w:rPr>
    </w:lvl>
    <w:lvl w:ilvl="1">
      <w:start w:val="1"/>
      <w:numFmt w:val="decimal"/>
      <w:lvlText w:val="%2."/>
      <w:lvlJc w:val="left"/>
      <w:pPr>
        <w:ind w:left="360" w:hanging="360"/>
      </w:pPr>
      <w:rPr>
        <w:rFonts w:ascii="Arial" w:eastAsia="Times New Roman" w:hAnsi="Arial" w:cs="Arial"/>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3" w15:restartNumberingAfterBreak="0">
    <w:nsid w:val="62BD420E"/>
    <w:multiLevelType w:val="hybridMultilevel"/>
    <w:tmpl w:val="DBBE8BC4"/>
    <w:lvl w:ilvl="0" w:tplc="BC520EBE">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AE30CA"/>
    <w:multiLevelType w:val="hybridMultilevel"/>
    <w:tmpl w:val="E984341A"/>
    <w:lvl w:ilvl="0" w:tplc="04090001">
      <w:start w:val="1"/>
      <w:numFmt w:val="bullet"/>
      <w:lvlText w:val=""/>
      <w:lvlJc w:val="left"/>
      <w:pPr>
        <w:ind w:left="768" w:hanging="360"/>
      </w:pPr>
      <w:rPr>
        <w:rFonts w:ascii="Symbol" w:hAnsi="Symbol" w:hint="default"/>
        <w:b w:val="0"/>
        <w:bCs w:val="0"/>
        <w:i w:val="0"/>
        <w:iCs w:val="0"/>
        <w:sz w:val="28"/>
        <w:szCs w:val="28"/>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15:restartNumberingAfterBreak="0">
    <w:nsid w:val="69EF552F"/>
    <w:multiLevelType w:val="hybridMultilevel"/>
    <w:tmpl w:val="75B6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23A62"/>
    <w:multiLevelType w:val="hybridMultilevel"/>
    <w:tmpl w:val="914A41B8"/>
    <w:lvl w:ilvl="0" w:tplc="581EE98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F5FC3"/>
    <w:multiLevelType w:val="hybridMultilevel"/>
    <w:tmpl w:val="3C10A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9E57B9"/>
    <w:multiLevelType w:val="multilevel"/>
    <w:tmpl w:val="31CCB7D6"/>
    <w:lvl w:ilvl="0">
      <w:start w:val="1"/>
      <w:numFmt w:val="upperRoman"/>
      <w:lvlText w:val="%1."/>
      <w:lvlJc w:val="left"/>
      <w:pPr>
        <w:ind w:left="4123"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85119ED"/>
    <w:multiLevelType w:val="multilevel"/>
    <w:tmpl w:val="8E3AE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285301"/>
    <w:multiLevelType w:val="hybridMultilevel"/>
    <w:tmpl w:val="0456C5DC"/>
    <w:lvl w:ilvl="0" w:tplc="FE2C85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83E99"/>
    <w:multiLevelType w:val="hybridMultilevel"/>
    <w:tmpl w:val="67209E82"/>
    <w:lvl w:ilvl="0" w:tplc="5D5C01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8"/>
  </w:num>
  <w:num w:numId="3">
    <w:abstractNumId w:val="22"/>
  </w:num>
  <w:num w:numId="4">
    <w:abstractNumId w:val="6"/>
  </w:num>
  <w:num w:numId="5">
    <w:abstractNumId w:val="19"/>
  </w:num>
  <w:num w:numId="6">
    <w:abstractNumId w:val="27"/>
  </w:num>
  <w:num w:numId="7">
    <w:abstractNumId w:val="12"/>
  </w:num>
  <w:num w:numId="8">
    <w:abstractNumId w:val="8"/>
  </w:num>
  <w:num w:numId="9">
    <w:abstractNumId w:val="26"/>
  </w:num>
  <w:num w:numId="10">
    <w:abstractNumId w:val="21"/>
  </w:num>
  <w:num w:numId="11">
    <w:abstractNumId w:val="13"/>
  </w:num>
  <w:num w:numId="12">
    <w:abstractNumId w:val="16"/>
  </w:num>
  <w:num w:numId="13">
    <w:abstractNumId w:val="14"/>
  </w:num>
  <w:num w:numId="14">
    <w:abstractNumId w:val="15"/>
  </w:num>
  <w:num w:numId="15">
    <w:abstractNumId w:val="7"/>
  </w:num>
  <w:num w:numId="16">
    <w:abstractNumId w:val="24"/>
  </w:num>
  <w:num w:numId="17">
    <w:abstractNumId w:val="2"/>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10"/>
  </w:num>
  <w:num w:numId="23">
    <w:abstractNumId w:val="18"/>
  </w:num>
  <w:num w:numId="24">
    <w:abstractNumId w:val="23"/>
  </w:num>
  <w:num w:numId="25">
    <w:abstractNumId w:val="31"/>
  </w:num>
  <w:num w:numId="26">
    <w:abstractNumId w:val="20"/>
  </w:num>
  <w:num w:numId="27">
    <w:abstractNumId w:val="25"/>
  </w:num>
  <w:num w:numId="28">
    <w:abstractNumId w:val="1"/>
  </w:num>
  <w:num w:numId="29">
    <w:abstractNumId w:val="11"/>
  </w:num>
  <w:num w:numId="30">
    <w:abstractNumId w:val="9"/>
  </w:num>
  <w:num w:numId="31">
    <w:abstractNumId w:val="4"/>
  </w:num>
  <w:num w:numId="3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25"/>
    <w:rsid w:val="00001847"/>
    <w:rsid w:val="00001CA6"/>
    <w:rsid w:val="00002A36"/>
    <w:rsid w:val="00002AA9"/>
    <w:rsid w:val="00002E20"/>
    <w:rsid w:val="00003062"/>
    <w:rsid w:val="00005E55"/>
    <w:rsid w:val="0000616F"/>
    <w:rsid w:val="0000653F"/>
    <w:rsid w:val="00006758"/>
    <w:rsid w:val="00006800"/>
    <w:rsid w:val="00006C1F"/>
    <w:rsid w:val="00006C77"/>
    <w:rsid w:val="00007BF6"/>
    <w:rsid w:val="00007F7F"/>
    <w:rsid w:val="00011AE3"/>
    <w:rsid w:val="00011B73"/>
    <w:rsid w:val="00012D18"/>
    <w:rsid w:val="00012FF1"/>
    <w:rsid w:val="00013ADC"/>
    <w:rsid w:val="00016454"/>
    <w:rsid w:val="00020EDE"/>
    <w:rsid w:val="00023477"/>
    <w:rsid w:val="00023ABF"/>
    <w:rsid w:val="000249BF"/>
    <w:rsid w:val="000249F0"/>
    <w:rsid w:val="00024BA4"/>
    <w:rsid w:val="00025568"/>
    <w:rsid w:val="00026FD2"/>
    <w:rsid w:val="0003023F"/>
    <w:rsid w:val="000306E6"/>
    <w:rsid w:val="0003420B"/>
    <w:rsid w:val="00034DE8"/>
    <w:rsid w:val="000351FE"/>
    <w:rsid w:val="00035B21"/>
    <w:rsid w:val="00036D29"/>
    <w:rsid w:val="00037189"/>
    <w:rsid w:val="00037805"/>
    <w:rsid w:val="000400DC"/>
    <w:rsid w:val="0004119A"/>
    <w:rsid w:val="000415A1"/>
    <w:rsid w:val="00041E57"/>
    <w:rsid w:val="0004423F"/>
    <w:rsid w:val="0004555A"/>
    <w:rsid w:val="00046182"/>
    <w:rsid w:val="00046834"/>
    <w:rsid w:val="00046B9C"/>
    <w:rsid w:val="000471EF"/>
    <w:rsid w:val="00047CFA"/>
    <w:rsid w:val="00047D26"/>
    <w:rsid w:val="000500C9"/>
    <w:rsid w:val="000501A8"/>
    <w:rsid w:val="00050DB2"/>
    <w:rsid w:val="0005219E"/>
    <w:rsid w:val="00052AEC"/>
    <w:rsid w:val="000531D9"/>
    <w:rsid w:val="000537E8"/>
    <w:rsid w:val="00054CDF"/>
    <w:rsid w:val="000550E9"/>
    <w:rsid w:val="000563FD"/>
    <w:rsid w:val="000606CC"/>
    <w:rsid w:val="00060DF2"/>
    <w:rsid w:val="00060FC1"/>
    <w:rsid w:val="00062014"/>
    <w:rsid w:val="00062597"/>
    <w:rsid w:val="00062818"/>
    <w:rsid w:val="00063712"/>
    <w:rsid w:val="00064935"/>
    <w:rsid w:val="00065000"/>
    <w:rsid w:val="00065963"/>
    <w:rsid w:val="000668CD"/>
    <w:rsid w:val="0006699E"/>
    <w:rsid w:val="000671F7"/>
    <w:rsid w:val="0006785F"/>
    <w:rsid w:val="00070388"/>
    <w:rsid w:val="000708CA"/>
    <w:rsid w:val="00070E33"/>
    <w:rsid w:val="00071156"/>
    <w:rsid w:val="00071226"/>
    <w:rsid w:val="00072184"/>
    <w:rsid w:val="000732E4"/>
    <w:rsid w:val="000750A9"/>
    <w:rsid w:val="000752D8"/>
    <w:rsid w:val="00075C01"/>
    <w:rsid w:val="00076F82"/>
    <w:rsid w:val="00077BF8"/>
    <w:rsid w:val="00080053"/>
    <w:rsid w:val="00082957"/>
    <w:rsid w:val="00083BBE"/>
    <w:rsid w:val="00084114"/>
    <w:rsid w:val="000849A5"/>
    <w:rsid w:val="000866D0"/>
    <w:rsid w:val="0008695C"/>
    <w:rsid w:val="00086EDF"/>
    <w:rsid w:val="000873F4"/>
    <w:rsid w:val="000874F4"/>
    <w:rsid w:val="0008754B"/>
    <w:rsid w:val="00087C4D"/>
    <w:rsid w:val="00091610"/>
    <w:rsid w:val="00091888"/>
    <w:rsid w:val="00092D93"/>
    <w:rsid w:val="00093064"/>
    <w:rsid w:val="000942A4"/>
    <w:rsid w:val="000942ED"/>
    <w:rsid w:val="00094A7F"/>
    <w:rsid w:val="00094FA8"/>
    <w:rsid w:val="0009548E"/>
    <w:rsid w:val="00095532"/>
    <w:rsid w:val="00095A62"/>
    <w:rsid w:val="00095AD6"/>
    <w:rsid w:val="00095AF8"/>
    <w:rsid w:val="000964A6"/>
    <w:rsid w:val="00096F48"/>
    <w:rsid w:val="0009728E"/>
    <w:rsid w:val="000973D6"/>
    <w:rsid w:val="000A00DA"/>
    <w:rsid w:val="000A0827"/>
    <w:rsid w:val="000A0A06"/>
    <w:rsid w:val="000A0D83"/>
    <w:rsid w:val="000A13CC"/>
    <w:rsid w:val="000A2053"/>
    <w:rsid w:val="000A3E22"/>
    <w:rsid w:val="000A4B57"/>
    <w:rsid w:val="000A4D3B"/>
    <w:rsid w:val="000A4DE5"/>
    <w:rsid w:val="000A4F97"/>
    <w:rsid w:val="000A5760"/>
    <w:rsid w:val="000A582B"/>
    <w:rsid w:val="000A6699"/>
    <w:rsid w:val="000A7B08"/>
    <w:rsid w:val="000B019F"/>
    <w:rsid w:val="000B0F6B"/>
    <w:rsid w:val="000B20C9"/>
    <w:rsid w:val="000B246A"/>
    <w:rsid w:val="000B3ADD"/>
    <w:rsid w:val="000B438F"/>
    <w:rsid w:val="000B46B4"/>
    <w:rsid w:val="000B5587"/>
    <w:rsid w:val="000B6976"/>
    <w:rsid w:val="000B69B6"/>
    <w:rsid w:val="000B71FA"/>
    <w:rsid w:val="000B78DD"/>
    <w:rsid w:val="000B7C47"/>
    <w:rsid w:val="000C03A0"/>
    <w:rsid w:val="000C1124"/>
    <w:rsid w:val="000C1A06"/>
    <w:rsid w:val="000C2716"/>
    <w:rsid w:val="000C5112"/>
    <w:rsid w:val="000C55B4"/>
    <w:rsid w:val="000C6592"/>
    <w:rsid w:val="000C73CE"/>
    <w:rsid w:val="000C7935"/>
    <w:rsid w:val="000C7E32"/>
    <w:rsid w:val="000D0D6D"/>
    <w:rsid w:val="000D19FF"/>
    <w:rsid w:val="000D1A25"/>
    <w:rsid w:val="000D1EC9"/>
    <w:rsid w:val="000D1F6C"/>
    <w:rsid w:val="000D2D5D"/>
    <w:rsid w:val="000D3586"/>
    <w:rsid w:val="000D389B"/>
    <w:rsid w:val="000D3E96"/>
    <w:rsid w:val="000D5EF8"/>
    <w:rsid w:val="000D6299"/>
    <w:rsid w:val="000D746B"/>
    <w:rsid w:val="000D74DE"/>
    <w:rsid w:val="000E0365"/>
    <w:rsid w:val="000E0AE3"/>
    <w:rsid w:val="000E1B8E"/>
    <w:rsid w:val="000E256C"/>
    <w:rsid w:val="000E38A3"/>
    <w:rsid w:val="000E3DAA"/>
    <w:rsid w:val="000E57C2"/>
    <w:rsid w:val="000E6369"/>
    <w:rsid w:val="000E69CA"/>
    <w:rsid w:val="000E74B0"/>
    <w:rsid w:val="000E7918"/>
    <w:rsid w:val="000E796E"/>
    <w:rsid w:val="000F1102"/>
    <w:rsid w:val="000F1E92"/>
    <w:rsid w:val="000F2006"/>
    <w:rsid w:val="000F2574"/>
    <w:rsid w:val="000F3137"/>
    <w:rsid w:val="000F4240"/>
    <w:rsid w:val="000F4B67"/>
    <w:rsid w:val="000F5F5B"/>
    <w:rsid w:val="000F6029"/>
    <w:rsid w:val="000F69FF"/>
    <w:rsid w:val="001009C7"/>
    <w:rsid w:val="00103049"/>
    <w:rsid w:val="00103137"/>
    <w:rsid w:val="001038C3"/>
    <w:rsid w:val="00103A51"/>
    <w:rsid w:val="0010456B"/>
    <w:rsid w:val="001057B6"/>
    <w:rsid w:val="00106B4B"/>
    <w:rsid w:val="001071F6"/>
    <w:rsid w:val="00107313"/>
    <w:rsid w:val="001107D9"/>
    <w:rsid w:val="00111701"/>
    <w:rsid w:val="001144F1"/>
    <w:rsid w:val="001154D2"/>
    <w:rsid w:val="00115985"/>
    <w:rsid w:val="00115D95"/>
    <w:rsid w:val="0011656A"/>
    <w:rsid w:val="00117273"/>
    <w:rsid w:val="001205D7"/>
    <w:rsid w:val="0012070D"/>
    <w:rsid w:val="00121452"/>
    <w:rsid w:val="00121BDD"/>
    <w:rsid w:val="0012520C"/>
    <w:rsid w:val="001260A4"/>
    <w:rsid w:val="00127CEF"/>
    <w:rsid w:val="00130A2E"/>
    <w:rsid w:val="001311B9"/>
    <w:rsid w:val="00132E92"/>
    <w:rsid w:val="0013396B"/>
    <w:rsid w:val="0013477B"/>
    <w:rsid w:val="001347A7"/>
    <w:rsid w:val="00134E91"/>
    <w:rsid w:val="0013520E"/>
    <w:rsid w:val="00135C60"/>
    <w:rsid w:val="001362C5"/>
    <w:rsid w:val="00137F03"/>
    <w:rsid w:val="001415C3"/>
    <w:rsid w:val="0014220A"/>
    <w:rsid w:val="00142857"/>
    <w:rsid w:val="00142965"/>
    <w:rsid w:val="00143AF3"/>
    <w:rsid w:val="00143C2F"/>
    <w:rsid w:val="001444DE"/>
    <w:rsid w:val="001471FA"/>
    <w:rsid w:val="00147441"/>
    <w:rsid w:val="00147898"/>
    <w:rsid w:val="001510A7"/>
    <w:rsid w:val="00151290"/>
    <w:rsid w:val="0015136D"/>
    <w:rsid w:val="00151CCD"/>
    <w:rsid w:val="00152230"/>
    <w:rsid w:val="001522F2"/>
    <w:rsid w:val="0015265A"/>
    <w:rsid w:val="0015293A"/>
    <w:rsid w:val="00152CC1"/>
    <w:rsid w:val="00155995"/>
    <w:rsid w:val="001563C3"/>
    <w:rsid w:val="001574A8"/>
    <w:rsid w:val="0015766E"/>
    <w:rsid w:val="001579C3"/>
    <w:rsid w:val="0016060A"/>
    <w:rsid w:val="001608A6"/>
    <w:rsid w:val="00160D54"/>
    <w:rsid w:val="00161069"/>
    <w:rsid w:val="001617A1"/>
    <w:rsid w:val="0016276F"/>
    <w:rsid w:val="00163763"/>
    <w:rsid w:val="001641D1"/>
    <w:rsid w:val="00164B5A"/>
    <w:rsid w:val="001659CB"/>
    <w:rsid w:val="0016646E"/>
    <w:rsid w:val="001669F2"/>
    <w:rsid w:val="00167F95"/>
    <w:rsid w:val="001703E3"/>
    <w:rsid w:val="00170625"/>
    <w:rsid w:val="00170D04"/>
    <w:rsid w:val="00171C3B"/>
    <w:rsid w:val="001725CE"/>
    <w:rsid w:val="0017392E"/>
    <w:rsid w:val="00173FE1"/>
    <w:rsid w:val="00174005"/>
    <w:rsid w:val="001743E2"/>
    <w:rsid w:val="001746BC"/>
    <w:rsid w:val="00174790"/>
    <w:rsid w:val="00174BC6"/>
    <w:rsid w:val="0018049F"/>
    <w:rsid w:val="00180C10"/>
    <w:rsid w:val="0018315A"/>
    <w:rsid w:val="0018354C"/>
    <w:rsid w:val="001842A1"/>
    <w:rsid w:val="001843E0"/>
    <w:rsid w:val="00184A6E"/>
    <w:rsid w:val="00184D6B"/>
    <w:rsid w:val="001855C0"/>
    <w:rsid w:val="00185819"/>
    <w:rsid w:val="00186E3E"/>
    <w:rsid w:val="00187554"/>
    <w:rsid w:val="001876D8"/>
    <w:rsid w:val="00190174"/>
    <w:rsid w:val="00190A38"/>
    <w:rsid w:val="00190F2E"/>
    <w:rsid w:val="001917DC"/>
    <w:rsid w:val="00191CB4"/>
    <w:rsid w:val="00191CF5"/>
    <w:rsid w:val="00192CEB"/>
    <w:rsid w:val="001934C7"/>
    <w:rsid w:val="00193F44"/>
    <w:rsid w:val="00194C55"/>
    <w:rsid w:val="00195A03"/>
    <w:rsid w:val="001965DB"/>
    <w:rsid w:val="00196CF0"/>
    <w:rsid w:val="00197A12"/>
    <w:rsid w:val="001A015A"/>
    <w:rsid w:val="001A01F1"/>
    <w:rsid w:val="001A02E4"/>
    <w:rsid w:val="001A076D"/>
    <w:rsid w:val="001A1C39"/>
    <w:rsid w:val="001A2660"/>
    <w:rsid w:val="001A2AAA"/>
    <w:rsid w:val="001A2C9A"/>
    <w:rsid w:val="001A2F58"/>
    <w:rsid w:val="001A31A0"/>
    <w:rsid w:val="001A33D3"/>
    <w:rsid w:val="001A43B0"/>
    <w:rsid w:val="001A5718"/>
    <w:rsid w:val="001A5871"/>
    <w:rsid w:val="001A5D16"/>
    <w:rsid w:val="001A5D78"/>
    <w:rsid w:val="001A6E4F"/>
    <w:rsid w:val="001A6E81"/>
    <w:rsid w:val="001B0E46"/>
    <w:rsid w:val="001B391B"/>
    <w:rsid w:val="001B5C76"/>
    <w:rsid w:val="001B6B59"/>
    <w:rsid w:val="001C1638"/>
    <w:rsid w:val="001C199A"/>
    <w:rsid w:val="001C265B"/>
    <w:rsid w:val="001C2934"/>
    <w:rsid w:val="001C365E"/>
    <w:rsid w:val="001C368B"/>
    <w:rsid w:val="001C43B9"/>
    <w:rsid w:val="001C4D8D"/>
    <w:rsid w:val="001C520E"/>
    <w:rsid w:val="001C55EE"/>
    <w:rsid w:val="001C5A89"/>
    <w:rsid w:val="001C6378"/>
    <w:rsid w:val="001C6AD8"/>
    <w:rsid w:val="001D1386"/>
    <w:rsid w:val="001D1D93"/>
    <w:rsid w:val="001D2DC5"/>
    <w:rsid w:val="001D3581"/>
    <w:rsid w:val="001D3C86"/>
    <w:rsid w:val="001D530D"/>
    <w:rsid w:val="001D5C7A"/>
    <w:rsid w:val="001D5E65"/>
    <w:rsid w:val="001D626E"/>
    <w:rsid w:val="001D732C"/>
    <w:rsid w:val="001D75D3"/>
    <w:rsid w:val="001E0E1C"/>
    <w:rsid w:val="001E1DB3"/>
    <w:rsid w:val="001E22FF"/>
    <w:rsid w:val="001E297B"/>
    <w:rsid w:val="001E2BA4"/>
    <w:rsid w:val="001E2F77"/>
    <w:rsid w:val="001E30AA"/>
    <w:rsid w:val="001E663A"/>
    <w:rsid w:val="001E72BA"/>
    <w:rsid w:val="001F05C2"/>
    <w:rsid w:val="001F186B"/>
    <w:rsid w:val="001F1C99"/>
    <w:rsid w:val="001F1F62"/>
    <w:rsid w:val="001F24DE"/>
    <w:rsid w:val="001F25BF"/>
    <w:rsid w:val="001F2C78"/>
    <w:rsid w:val="001F35DA"/>
    <w:rsid w:val="001F363B"/>
    <w:rsid w:val="001F38A7"/>
    <w:rsid w:val="001F3C2E"/>
    <w:rsid w:val="001F435E"/>
    <w:rsid w:val="001F51FD"/>
    <w:rsid w:val="001F5685"/>
    <w:rsid w:val="001F66CC"/>
    <w:rsid w:val="001F6ACC"/>
    <w:rsid w:val="001F6B69"/>
    <w:rsid w:val="001F6F1F"/>
    <w:rsid w:val="001F7739"/>
    <w:rsid w:val="0020006E"/>
    <w:rsid w:val="00201D7A"/>
    <w:rsid w:val="002032E6"/>
    <w:rsid w:val="00204355"/>
    <w:rsid w:val="00204914"/>
    <w:rsid w:val="00204B25"/>
    <w:rsid w:val="00205110"/>
    <w:rsid w:val="0020516B"/>
    <w:rsid w:val="00205693"/>
    <w:rsid w:val="00206977"/>
    <w:rsid w:val="00206ADE"/>
    <w:rsid w:val="00206AE4"/>
    <w:rsid w:val="00206BB5"/>
    <w:rsid w:val="00207A96"/>
    <w:rsid w:val="00211F4F"/>
    <w:rsid w:val="0021268D"/>
    <w:rsid w:val="00212C9F"/>
    <w:rsid w:val="002131F0"/>
    <w:rsid w:val="002137BD"/>
    <w:rsid w:val="00213966"/>
    <w:rsid w:val="00213967"/>
    <w:rsid w:val="00217688"/>
    <w:rsid w:val="002205B6"/>
    <w:rsid w:val="002209D3"/>
    <w:rsid w:val="00221320"/>
    <w:rsid w:val="0022324A"/>
    <w:rsid w:val="00223A45"/>
    <w:rsid w:val="00223B61"/>
    <w:rsid w:val="0022592D"/>
    <w:rsid w:val="00225C3D"/>
    <w:rsid w:val="0022680D"/>
    <w:rsid w:val="0023029E"/>
    <w:rsid w:val="00232819"/>
    <w:rsid w:val="00232863"/>
    <w:rsid w:val="00232873"/>
    <w:rsid w:val="002329B7"/>
    <w:rsid w:val="002338E6"/>
    <w:rsid w:val="00234E13"/>
    <w:rsid w:val="0023513A"/>
    <w:rsid w:val="00236057"/>
    <w:rsid w:val="0023652A"/>
    <w:rsid w:val="00236F0C"/>
    <w:rsid w:val="002378B6"/>
    <w:rsid w:val="002378F4"/>
    <w:rsid w:val="002379CE"/>
    <w:rsid w:val="00237D97"/>
    <w:rsid w:val="00237F2A"/>
    <w:rsid w:val="002401B8"/>
    <w:rsid w:val="00240200"/>
    <w:rsid w:val="00240269"/>
    <w:rsid w:val="002408F8"/>
    <w:rsid w:val="002416D5"/>
    <w:rsid w:val="00241A13"/>
    <w:rsid w:val="00241A3E"/>
    <w:rsid w:val="00241D2B"/>
    <w:rsid w:val="002422EA"/>
    <w:rsid w:val="00244D45"/>
    <w:rsid w:val="002451C9"/>
    <w:rsid w:val="00246140"/>
    <w:rsid w:val="0024640C"/>
    <w:rsid w:val="00246761"/>
    <w:rsid w:val="00246C15"/>
    <w:rsid w:val="002474D4"/>
    <w:rsid w:val="0024790F"/>
    <w:rsid w:val="00247A42"/>
    <w:rsid w:val="00247D14"/>
    <w:rsid w:val="0025079F"/>
    <w:rsid w:val="00250DDE"/>
    <w:rsid w:val="00251CA0"/>
    <w:rsid w:val="00251D33"/>
    <w:rsid w:val="00252E3F"/>
    <w:rsid w:val="00253142"/>
    <w:rsid w:val="002539C8"/>
    <w:rsid w:val="00254732"/>
    <w:rsid w:val="00254911"/>
    <w:rsid w:val="00255AE6"/>
    <w:rsid w:val="00255C6B"/>
    <w:rsid w:val="002562B8"/>
    <w:rsid w:val="00257DCF"/>
    <w:rsid w:val="00260E7A"/>
    <w:rsid w:val="00262A1A"/>
    <w:rsid w:val="0026393C"/>
    <w:rsid w:val="00263F27"/>
    <w:rsid w:val="002642F3"/>
    <w:rsid w:val="002647AF"/>
    <w:rsid w:val="00265950"/>
    <w:rsid w:val="00266268"/>
    <w:rsid w:val="00266AB9"/>
    <w:rsid w:val="002671FC"/>
    <w:rsid w:val="00267F4D"/>
    <w:rsid w:val="00271A80"/>
    <w:rsid w:val="00271AB1"/>
    <w:rsid w:val="00272A0C"/>
    <w:rsid w:val="00272BB1"/>
    <w:rsid w:val="00272E02"/>
    <w:rsid w:val="00272E5F"/>
    <w:rsid w:val="00273305"/>
    <w:rsid w:val="00275EE8"/>
    <w:rsid w:val="002761C6"/>
    <w:rsid w:val="00277059"/>
    <w:rsid w:val="00277844"/>
    <w:rsid w:val="00277999"/>
    <w:rsid w:val="002779BB"/>
    <w:rsid w:val="00277B7B"/>
    <w:rsid w:val="00277EF1"/>
    <w:rsid w:val="0028003C"/>
    <w:rsid w:val="002806D0"/>
    <w:rsid w:val="002814D5"/>
    <w:rsid w:val="0028189A"/>
    <w:rsid w:val="00281965"/>
    <w:rsid w:val="002833E1"/>
    <w:rsid w:val="0028371C"/>
    <w:rsid w:val="00284EDE"/>
    <w:rsid w:val="002856E3"/>
    <w:rsid w:val="00285A74"/>
    <w:rsid w:val="00285F9A"/>
    <w:rsid w:val="002866FC"/>
    <w:rsid w:val="00286764"/>
    <w:rsid w:val="00286C6B"/>
    <w:rsid w:val="0028724F"/>
    <w:rsid w:val="00287282"/>
    <w:rsid w:val="002876B7"/>
    <w:rsid w:val="0028776A"/>
    <w:rsid w:val="00287DF5"/>
    <w:rsid w:val="0029067E"/>
    <w:rsid w:val="00292A05"/>
    <w:rsid w:val="00292C1D"/>
    <w:rsid w:val="002935E7"/>
    <w:rsid w:val="002935F4"/>
    <w:rsid w:val="00293656"/>
    <w:rsid w:val="00293E94"/>
    <w:rsid w:val="0029608E"/>
    <w:rsid w:val="00296BAB"/>
    <w:rsid w:val="00297584"/>
    <w:rsid w:val="002A063F"/>
    <w:rsid w:val="002A0945"/>
    <w:rsid w:val="002A0D91"/>
    <w:rsid w:val="002A0E86"/>
    <w:rsid w:val="002A176B"/>
    <w:rsid w:val="002A2E1E"/>
    <w:rsid w:val="002A3303"/>
    <w:rsid w:val="002A428F"/>
    <w:rsid w:val="002A4627"/>
    <w:rsid w:val="002A5461"/>
    <w:rsid w:val="002A56AD"/>
    <w:rsid w:val="002A66D7"/>
    <w:rsid w:val="002A733E"/>
    <w:rsid w:val="002B002E"/>
    <w:rsid w:val="002B0AB7"/>
    <w:rsid w:val="002B1105"/>
    <w:rsid w:val="002B28E0"/>
    <w:rsid w:val="002B2D53"/>
    <w:rsid w:val="002B391B"/>
    <w:rsid w:val="002B394A"/>
    <w:rsid w:val="002B3F4F"/>
    <w:rsid w:val="002B44AF"/>
    <w:rsid w:val="002B56D0"/>
    <w:rsid w:val="002B56E8"/>
    <w:rsid w:val="002B742B"/>
    <w:rsid w:val="002B75D4"/>
    <w:rsid w:val="002B7A0B"/>
    <w:rsid w:val="002C312C"/>
    <w:rsid w:val="002C3946"/>
    <w:rsid w:val="002C409E"/>
    <w:rsid w:val="002C4136"/>
    <w:rsid w:val="002C435B"/>
    <w:rsid w:val="002C64F6"/>
    <w:rsid w:val="002C6A4E"/>
    <w:rsid w:val="002C71CB"/>
    <w:rsid w:val="002C745F"/>
    <w:rsid w:val="002C7701"/>
    <w:rsid w:val="002C78B6"/>
    <w:rsid w:val="002D0015"/>
    <w:rsid w:val="002D14D8"/>
    <w:rsid w:val="002D18A6"/>
    <w:rsid w:val="002D1914"/>
    <w:rsid w:val="002D1C04"/>
    <w:rsid w:val="002D5A65"/>
    <w:rsid w:val="002D60CE"/>
    <w:rsid w:val="002D65B4"/>
    <w:rsid w:val="002D76F6"/>
    <w:rsid w:val="002E0823"/>
    <w:rsid w:val="002E08AF"/>
    <w:rsid w:val="002E19DC"/>
    <w:rsid w:val="002E1D52"/>
    <w:rsid w:val="002E28AA"/>
    <w:rsid w:val="002E35FE"/>
    <w:rsid w:val="002E38D8"/>
    <w:rsid w:val="002E4B1D"/>
    <w:rsid w:val="002E4D1B"/>
    <w:rsid w:val="002E526D"/>
    <w:rsid w:val="002E56D1"/>
    <w:rsid w:val="002E5BF5"/>
    <w:rsid w:val="002E7212"/>
    <w:rsid w:val="002E7A03"/>
    <w:rsid w:val="002E7B6E"/>
    <w:rsid w:val="002E7F4C"/>
    <w:rsid w:val="002F0E48"/>
    <w:rsid w:val="002F1FF2"/>
    <w:rsid w:val="002F2184"/>
    <w:rsid w:val="002F3049"/>
    <w:rsid w:val="002F5C1F"/>
    <w:rsid w:val="002F68BC"/>
    <w:rsid w:val="002F7180"/>
    <w:rsid w:val="00300938"/>
    <w:rsid w:val="00300E9B"/>
    <w:rsid w:val="003010E0"/>
    <w:rsid w:val="0030315A"/>
    <w:rsid w:val="0030442F"/>
    <w:rsid w:val="003044B4"/>
    <w:rsid w:val="0030537C"/>
    <w:rsid w:val="0030579B"/>
    <w:rsid w:val="00305E64"/>
    <w:rsid w:val="00306F93"/>
    <w:rsid w:val="0031210B"/>
    <w:rsid w:val="00312CD1"/>
    <w:rsid w:val="00313203"/>
    <w:rsid w:val="00313ADA"/>
    <w:rsid w:val="00313F20"/>
    <w:rsid w:val="00314025"/>
    <w:rsid w:val="003158A8"/>
    <w:rsid w:val="00315B46"/>
    <w:rsid w:val="003177E8"/>
    <w:rsid w:val="00320786"/>
    <w:rsid w:val="00320DC3"/>
    <w:rsid w:val="003217B9"/>
    <w:rsid w:val="00322D46"/>
    <w:rsid w:val="003232A1"/>
    <w:rsid w:val="003241D3"/>
    <w:rsid w:val="003246A6"/>
    <w:rsid w:val="00324CC2"/>
    <w:rsid w:val="00324FA5"/>
    <w:rsid w:val="003251EE"/>
    <w:rsid w:val="00325678"/>
    <w:rsid w:val="00325D3C"/>
    <w:rsid w:val="00325F76"/>
    <w:rsid w:val="00326359"/>
    <w:rsid w:val="003263AD"/>
    <w:rsid w:val="003264EB"/>
    <w:rsid w:val="003265B2"/>
    <w:rsid w:val="0032765D"/>
    <w:rsid w:val="003307E7"/>
    <w:rsid w:val="00330839"/>
    <w:rsid w:val="00331895"/>
    <w:rsid w:val="00331A35"/>
    <w:rsid w:val="00331A9B"/>
    <w:rsid w:val="00332294"/>
    <w:rsid w:val="003329E7"/>
    <w:rsid w:val="00333334"/>
    <w:rsid w:val="00334CCD"/>
    <w:rsid w:val="00336A74"/>
    <w:rsid w:val="0033747C"/>
    <w:rsid w:val="003375D6"/>
    <w:rsid w:val="003375FF"/>
    <w:rsid w:val="00337E44"/>
    <w:rsid w:val="0034081D"/>
    <w:rsid w:val="003408C6"/>
    <w:rsid w:val="00341274"/>
    <w:rsid w:val="0034145D"/>
    <w:rsid w:val="00341529"/>
    <w:rsid w:val="00341C24"/>
    <w:rsid w:val="00343D21"/>
    <w:rsid w:val="003442E1"/>
    <w:rsid w:val="003450D2"/>
    <w:rsid w:val="0034642C"/>
    <w:rsid w:val="0034665B"/>
    <w:rsid w:val="00346902"/>
    <w:rsid w:val="00346D45"/>
    <w:rsid w:val="003474BC"/>
    <w:rsid w:val="00350BC1"/>
    <w:rsid w:val="00350BF0"/>
    <w:rsid w:val="00351A2D"/>
    <w:rsid w:val="00351B2B"/>
    <w:rsid w:val="00351B5C"/>
    <w:rsid w:val="00351D2B"/>
    <w:rsid w:val="00352DE6"/>
    <w:rsid w:val="00354248"/>
    <w:rsid w:val="003543E9"/>
    <w:rsid w:val="003545A7"/>
    <w:rsid w:val="00354A1F"/>
    <w:rsid w:val="00354FDF"/>
    <w:rsid w:val="00355A78"/>
    <w:rsid w:val="00356A79"/>
    <w:rsid w:val="003573D8"/>
    <w:rsid w:val="00360689"/>
    <w:rsid w:val="00360716"/>
    <w:rsid w:val="00360C91"/>
    <w:rsid w:val="00361516"/>
    <w:rsid w:val="003618F4"/>
    <w:rsid w:val="00362B66"/>
    <w:rsid w:val="0036319D"/>
    <w:rsid w:val="003637B9"/>
    <w:rsid w:val="00363F14"/>
    <w:rsid w:val="0036478D"/>
    <w:rsid w:val="00365AA3"/>
    <w:rsid w:val="00365ABC"/>
    <w:rsid w:val="0036639F"/>
    <w:rsid w:val="003673A7"/>
    <w:rsid w:val="00367A94"/>
    <w:rsid w:val="00370DFE"/>
    <w:rsid w:val="00372397"/>
    <w:rsid w:val="00372453"/>
    <w:rsid w:val="00373914"/>
    <w:rsid w:val="00374BEC"/>
    <w:rsid w:val="00375058"/>
    <w:rsid w:val="00375575"/>
    <w:rsid w:val="00375BB2"/>
    <w:rsid w:val="003761EC"/>
    <w:rsid w:val="00376290"/>
    <w:rsid w:val="003765A9"/>
    <w:rsid w:val="0037677F"/>
    <w:rsid w:val="00377B96"/>
    <w:rsid w:val="00377C94"/>
    <w:rsid w:val="0038143F"/>
    <w:rsid w:val="003821B8"/>
    <w:rsid w:val="00382D29"/>
    <w:rsid w:val="003836D7"/>
    <w:rsid w:val="003838A2"/>
    <w:rsid w:val="00384816"/>
    <w:rsid w:val="00384F47"/>
    <w:rsid w:val="00386369"/>
    <w:rsid w:val="00386CFD"/>
    <w:rsid w:val="00387461"/>
    <w:rsid w:val="00387AC7"/>
    <w:rsid w:val="00390918"/>
    <w:rsid w:val="00391F0E"/>
    <w:rsid w:val="003920D8"/>
    <w:rsid w:val="00392117"/>
    <w:rsid w:val="00392926"/>
    <w:rsid w:val="00393512"/>
    <w:rsid w:val="0039360E"/>
    <w:rsid w:val="00393851"/>
    <w:rsid w:val="00393C65"/>
    <w:rsid w:val="00393F79"/>
    <w:rsid w:val="0039537F"/>
    <w:rsid w:val="00395771"/>
    <w:rsid w:val="00395F31"/>
    <w:rsid w:val="00396B4D"/>
    <w:rsid w:val="00396D6E"/>
    <w:rsid w:val="003977EE"/>
    <w:rsid w:val="00397C0E"/>
    <w:rsid w:val="00397FA4"/>
    <w:rsid w:val="003A0111"/>
    <w:rsid w:val="003A1BB7"/>
    <w:rsid w:val="003A1C57"/>
    <w:rsid w:val="003A2D59"/>
    <w:rsid w:val="003A3BFA"/>
    <w:rsid w:val="003A705F"/>
    <w:rsid w:val="003A7481"/>
    <w:rsid w:val="003A7E24"/>
    <w:rsid w:val="003B00C2"/>
    <w:rsid w:val="003B0190"/>
    <w:rsid w:val="003B1BC5"/>
    <w:rsid w:val="003B2680"/>
    <w:rsid w:val="003B2BBC"/>
    <w:rsid w:val="003B3F36"/>
    <w:rsid w:val="003B4414"/>
    <w:rsid w:val="003B4808"/>
    <w:rsid w:val="003B4B63"/>
    <w:rsid w:val="003B4BFD"/>
    <w:rsid w:val="003B4CF6"/>
    <w:rsid w:val="003B539F"/>
    <w:rsid w:val="003B69DD"/>
    <w:rsid w:val="003B6AAA"/>
    <w:rsid w:val="003B6EF9"/>
    <w:rsid w:val="003B7E45"/>
    <w:rsid w:val="003C0047"/>
    <w:rsid w:val="003C0AFD"/>
    <w:rsid w:val="003C0E71"/>
    <w:rsid w:val="003C1A24"/>
    <w:rsid w:val="003C1FFA"/>
    <w:rsid w:val="003C23D6"/>
    <w:rsid w:val="003C3FBE"/>
    <w:rsid w:val="003C4BE2"/>
    <w:rsid w:val="003C4C42"/>
    <w:rsid w:val="003C4CE5"/>
    <w:rsid w:val="003C7CA9"/>
    <w:rsid w:val="003D045C"/>
    <w:rsid w:val="003D0707"/>
    <w:rsid w:val="003D0B13"/>
    <w:rsid w:val="003D1A75"/>
    <w:rsid w:val="003D248A"/>
    <w:rsid w:val="003D305E"/>
    <w:rsid w:val="003D31A6"/>
    <w:rsid w:val="003D3620"/>
    <w:rsid w:val="003D37F6"/>
    <w:rsid w:val="003D38E7"/>
    <w:rsid w:val="003D3D1F"/>
    <w:rsid w:val="003D538D"/>
    <w:rsid w:val="003D5652"/>
    <w:rsid w:val="003D5E75"/>
    <w:rsid w:val="003D74E0"/>
    <w:rsid w:val="003D7DDA"/>
    <w:rsid w:val="003E0012"/>
    <w:rsid w:val="003E09C6"/>
    <w:rsid w:val="003E0D9C"/>
    <w:rsid w:val="003E1CA8"/>
    <w:rsid w:val="003E1FF7"/>
    <w:rsid w:val="003E2257"/>
    <w:rsid w:val="003E335D"/>
    <w:rsid w:val="003E4F15"/>
    <w:rsid w:val="003E5027"/>
    <w:rsid w:val="003E79EA"/>
    <w:rsid w:val="003E7DAD"/>
    <w:rsid w:val="003F00F5"/>
    <w:rsid w:val="003F0258"/>
    <w:rsid w:val="003F05DE"/>
    <w:rsid w:val="003F07CD"/>
    <w:rsid w:val="003F09BB"/>
    <w:rsid w:val="003F18D6"/>
    <w:rsid w:val="003F206B"/>
    <w:rsid w:val="003F22C4"/>
    <w:rsid w:val="003F2523"/>
    <w:rsid w:val="003F2C86"/>
    <w:rsid w:val="003F354D"/>
    <w:rsid w:val="003F3B92"/>
    <w:rsid w:val="003F44D2"/>
    <w:rsid w:val="003F4D79"/>
    <w:rsid w:val="003F596B"/>
    <w:rsid w:val="003F5986"/>
    <w:rsid w:val="003F5B41"/>
    <w:rsid w:val="003F637C"/>
    <w:rsid w:val="003F777E"/>
    <w:rsid w:val="003F79D0"/>
    <w:rsid w:val="004012E1"/>
    <w:rsid w:val="00401A77"/>
    <w:rsid w:val="00401C99"/>
    <w:rsid w:val="0040220A"/>
    <w:rsid w:val="00402655"/>
    <w:rsid w:val="00402676"/>
    <w:rsid w:val="004040A5"/>
    <w:rsid w:val="00404134"/>
    <w:rsid w:val="00404645"/>
    <w:rsid w:val="00404783"/>
    <w:rsid w:val="004047A4"/>
    <w:rsid w:val="00405979"/>
    <w:rsid w:val="00405A3C"/>
    <w:rsid w:val="00406B0D"/>
    <w:rsid w:val="00406D5E"/>
    <w:rsid w:val="00407A1F"/>
    <w:rsid w:val="00407BF9"/>
    <w:rsid w:val="00410F84"/>
    <w:rsid w:val="0041197E"/>
    <w:rsid w:val="00411B7B"/>
    <w:rsid w:val="0041204E"/>
    <w:rsid w:val="00412523"/>
    <w:rsid w:val="00412E34"/>
    <w:rsid w:val="004134E5"/>
    <w:rsid w:val="004136BC"/>
    <w:rsid w:val="0041380A"/>
    <w:rsid w:val="00414757"/>
    <w:rsid w:val="00415913"/>
    <w:rsid w:val="00415E5E"/>
    <w:rsid w:val="00415EA5"/>
    <w:rsid w:val="004168C5"/>
    <w:rsid w:val="00416A9E"/>
    <w:rsid w:val="00416AE8"/>
    <w:rsid w:val="0041783D"/>
    <w:rsid w:val="00417F34"/>
    <w:rsid w:val="00420C25"/>
    <w:rsid w:val="00421B0E"/>
    <w:rsid w:val="0042214A"/>
    <w:rsid w:val="00422517"/>
    <w:rsid w:val="00422906"/>
    <w:rsid w:val="004229A2"/>
    <w:rsid w:val="004230F3"/>
    <w:rsid w:val="00425A0A"/>
    <w:rsid w:val="004261B7"/>
    <w:rsid w:val="004267AF"/>
    <w:rsid w:val="00427597"/>
    <w:rsid w:val="00427EB1"/>
    <w:rsid w:val="0043060C"/>
    <w:rsid w:val="00430616"/>
    <w:rsid w:val="004308AE"/>
    <w:rsid w:val="004311AE"/>
    <w:rsid w:val="00431C1A"/>
    <w:rsid w:val="00431C97"/>
    <w:rsid w:val="00431EA4"/>
    <w:rsid w:val="004327F9"/>
    <w:rsid w:val="00432DDF"/>
    <w:rsid w:val="00432F84"/>
    <w:rsid w:val="00433277"/>
    <w:rsid w:val="00433303"/>
    <w:rsid w:val="0043785A"/>
    <w:rsid w:val="004403C0"/>
    <w:rsid w:val="0044141E"/>
    <w:rsid w:val="004425DA"/>
    <w:rsid w:val="00442A45"/>
    <w:rsid w:val="00442D5E"/>
    <w:rsid w:val="00442FB1"/>
    <w:rsid w:val="0044422B"/>
    <w:rsid w:val="00444D50"/>
    <w:rsid w:val="00445976"/>
    <w:rsid w:val="00445A73"/>
    <w:rsid w:val="00445AAD"/>
    <w:rsid w:val="00445B8E"/>
    <w:rsid w:val="00445FFE"/>
    <w:rsid w:val="0044672D"/>
    <w:rsid w:val="004473EC"/>
    <w:rsid w:val="00447415"/>
    <w:rsid w:val="00450C4A"/>
    <w:rsid w:val="0045102C"/>
    <w:rsid w:val="0045115E"/>
    <w:rsid w:val="00453C32"/>
    <w:rsid w:val="00456D23"/>
    <w:rsid w:val="004579D4"/>
    <w:rsid w:val="00460083"/>
    <w:rsid w:val="00461370"/>
    <w:rsid w:val="00461CB5"/>
    <w:rsid w:val="00461F6E"/>
    <w:rsid w:val="004623A0"/>
    <w:rsid w:val="00462505"/>
    <w:rsid w:val="00462F01"/>
    <w:rsid w:val="00464003"/>
    <w:rsid w:val="00464CA7"/>
    <w:rsid w:val="0046553E"/>
    <w:rsid w:val="0046612A"/>
    <w:rsid w:val="004707F3"/>
    <w:rsid w:val="004711E0"/>
    <w:rsid w:val="0047254B"/>
    <w:rsid w:val="00473412"/>
    <w:rsid w:val="004734D9"/>
    <w:rsid w:val="004738F5"/>
    <w:rsid w:val="004739D1"/>
    <w:rsid w:val="00473B36"/>
    <w:rsid w:val="00473EE1"/>
    <w:rsid w:val="00474007"/>
    <w:rsid w:val="0047491B"/>
    <w:rsid w:val="00474B2B"/>
    <w:rsid w:val="004766E5"/>
    <w:rsid w:val="004766F2"/>
    <w:rsid w:val="00476BF3"/>
    <w:rsid w:val="00480ABC"/>
    <w:rsid w:val="00480D30"/>
    <w:rsid w:val="00480EB2"/>
    <w:rsid w:val="0048208E"/>
    <w:rsid w:val="00482B52"/>
    <w:rsid w:val="004832D9"/>
    <w:rsid w:val="00483A1A"/>
    <w:rsid w:val="004841E2"/>
    <w:rsid w:val="004845F5"/>
    <w:rsid w:val="004848B1"/>
    <w:rsid w:val="00484930"/>
    <w:rsid w:val="00484A6F"/>
    <w:rsid w:val="00484F27"/>
    <w:rsid w:val="00485090"/>
    <w:rsid w:val="0048536B"/>
    <w:rsid w:val="00485877"/>
    <w:rsid w:val="00485B7C"/>
    <w:rsid w:val="00486D12"/>
    <w:rsid w:val="0049001F"/>
    <w:rsid w:val="00490210"/>
    <w:rsid w:val="00490555"/>
    <w:rsid w:val="00490EE8"/>
    <w:rsid w:val="004918DF"/>
    <w:rsid w:val="00492513"/>
    <w:rsid w:val="004929BD"/>
    <w:rsid w:val="00494887"/>
    <w:rsid w:val="00495DE0"/>
    <w:rsid w:val="00495EE0"/>
    <w:rsid w:val="004965D6"/>
    <w:rsid w:val="00496E6C"/>
    <w:rsid w:val="004977C1"/>
    <w:rsid w:val="004A083B"/>
    <w:rsid w:val="004A097E"/>
    <w:rsid w:val="004A1C61"/>
    <w:rsid w:val="004A1ECC"/>
    <w:rsid w:val="004A2556"/>
    <w:rsid w:val="004A2BF2"/>
    <w:rsid w:val="004A2BFA"/>
    <w:rsid w:val="004A4F9E"/>
    <w:rsid w:val="004A6D4C"/>
    <w:rsid w:val="004A74D2"/>
    <w:rsid w:val="004A7A62"/>
    <w:rsid w:val="004B082F"/>
    <w:rsid w:val="004B0B11"/>
    <w:rsid w:val="004B1B4B"/>
    <w:rsid w:val="004B270F"/>
    <w:rsid w:val="004B3A7F"/>
    <w:rsid w:val="004B41CA"/>
    <w:rsid w:val="004B44F6"/>
    <w:rsid w:val="004B4FD9"/>
    <w:rsid w:val="004B5C03"/>
    <w:rsid w:val="004B6A05"/>
    <w:rsid w:val="004B7DCA"/>
    <w:rsid w:val="004C16F7"/>
    <w:rsid w:val="004C1D1F"/>
    <w:rsid w:val="004C21F8"/>
    <w:rsid w:val="004C2F20"/>
    <w:rsid w:val="004C44C9"/>
    <w:rsid w:val="004C5076"/>
    <w:rsid w:val="004C5137"/>
    <w:rsid w:val="004C6324"/>
    <w:rsid w:val="004C63DB"/>
    <w:rsid w:val="004C6C65"/>
    <w:rsid w:val="004C7AC9"/>
    <w:rsid w:val="004C7B82"/>
    <w:rsid w:val="004D3304"/>
    <w:rsid w:val="004D34E7"/>
    <w:rsid w:val="004D3C03"/>
    <w:rsid w:val="004D413A"/>
    <w:rsid w:val="004D46BF"/>
    <w:rsid w:val="004D5060"/>
    <w:rsid w:val="004D5302"/>
    <w:rsid w:val="004D5F67"/>
    <w:rsid w:val="004D63DC"/>
    <w:rsid w:val="004D66C0"/>
    <w:rsid w:val="004D68CC"/>
    <w:rsid w:val="004D7E3D"/>
    <w:rsid w:val="004D7F36"/>
    <w:rsid w:val="004E0ECD"/>
    <w:rsid w:val="004E114C"/>
    <w:rsid w:val="004E1639"/>
    <w:rsid w:val="004E193A"/>
    <w:rsid w:val="004E1B7E"/>
    <w:rsid w:val="004E2A69"/>
    <w:rsid w:val="004E2B2A"/>
    <w:rsid w:val="004E2CD8"/>
    <w:rsid w:val="004E409F"/>
    <w:rsid w:val="004E4A81"/>
    <w:rsid w:val="004E623D"/>
    <w:rsid w:val="004E672C"/>
    <w:rsid w:val="004E6AEA"/>
    <w:rsid w:val="004E71CE"/>
    <w:rsid w:val="004E7A11"/>
    <w:rsid w:val="004F0A84"/>
    <w:rsid w:val="004F1977"/>
    <w:rsid w:val="004F1B1E"/>
    <w:rsid w:val="004F1EFC"/>
    <w:rsid w:val="004F20A2"/>
    <w:rsid w:val="004F2841"/>
    <w:rsid w:val="004F2CBB"/>
    <w:rsid w:val="004F3C5D"/>
    <w:rsid w:val="004F424A"/>
    <w:rsid w:val="004F486C"/>
    <w:rsid w:val="004F4D42"/>
    <w:rsid w:val="004F4D47"/>
    <w:rsid w:val="004F570C"/>
    <w:rsid w:val="004F5D30"/>
    <w:rsid w:val="004F7A74"/>
    <w:rsid w:val="004F7ADB"/>
    <w:rsid w:val="005037C7"/>
    <w:rsid w:val="005039E9"/>
    <w:rsid w:val="00504716"/>
    <w:rsid w:val="00504DBD"/>
    <w:rsid w:val="00505B9C"/>
    <w:rsid w:val="005070C9"/>
    <w:rsid w:val="00510A55"/>
    <w:rsid w:val="005112F3"/>
    <w:rsid w:val="00511A1F"/>
    <w:rsid w:val="00511F23"/>
    <w:rsid w:val="00512B57"/>
    <w:rsid w:val="00512C11"/>
    <w:rsid w:val="00513B55"/>
    <w:rsid w:val="00513C86"/>
    <w:rsid w:val="00513D2D"/>
    <w:rsid w:val="00514451"/>
    <w:rsid w:val="00514874"/>
    <w:rsid w:val="00515083"/>
    <w:rsid w:val="005151EC"/>
    <w:rsid w:val="0051594D"/>
    <w:rsid w:val="00515B94"/>
    <w:rsid w:val="00516FF0"/>
    <w:rsid w:val="005171C6"/>
    <w:rsid w:val="005201D5"/>
    <w:rsid w:val="005203B6"/>
    <w:rsid w:val="00520B4A"/>
    <w:rsid w:val="00520E99"/>
    <w:rsid w:val="00521326"/>
    <w:rsid w:val="005228AD"/>
    <w:rsid w:val="00523790"/>
    <w:rsid w:val="005238BA"/>
    <w:rsid w:val="00523DC9"/>
    <w:rsid w:val="005249D4"/>
    <w:rsid w:val="00524D7B"/>
    <w:rsid w:val="005254EA"/>
    <w:rsid w:val="00525BA2"/>
    <w:rsid w:val="0052796C"/>
    <w:rsid w:val="0052797C"/>
    <w:rsid w:val="00527995"/>
    <w:rsid w:val="00532DAF"/>
    <w:rsid w:val="00535955"/>
    <w:rsid w:val="005365B4"/>
    <w:rsid w:val="00536C3E"/>
    <w:rsid w:val="00536CE9"/>
    <w:rsid w:val="00536E3F"/>
    <w:rsid w:val="005378D3"/>
    <w:rsid w:val="00537A64"/>
    <w:rsid w:val="00537F77"/>
    <w:rsid w:val="0054223B"/>
    <w:rsid w:val="0054413B"/>
    <w:rsid w:val="00544CC6"/>
    <w:rsid w:val="00544F6F"/>
    <w:rsid w:val="0054516A"/>
    <w:rsid w:val="00545828"/>
    <w:rsid w:val="00546238"/>
    <w:rsid w:val="00546B8F"/>
    <w:rsid w:val="00547F2A"/>
    <w:rsid w:val="00550501"/>
    <w:rsid w:val="0055061E"/>
    <w:rsid w:val="00551A21"/>
    <w:rsid w:val="005523BB"/>
    <w:rsid w:val="00553C0F"/>
    <w:rsid w:val="00553CC3"/>
    <w:rsid w:val="00554424"/>
    <w:rsid w:val="00554850"/>
    <w:rsid w:val="00555BE8"/>
    <w:rsid w:val="00556641"/>
    <w:rsid w:val="00556B34"/>
    <w:rsid w:val="0055772D"/>
    <w:rsid w:val="00557AA1"/>
    <w:rsid w:val="00560156"/>
    <w:rsid w:val="00562253"/>
    <w:rsid w:val="00563429"/>
    <w:rsid w:val="00563D03"/>
    <w:rsid w:val="00564B56"/>
    <w:rsid w:val="00565866"/>
    <w:rsid w:val="00565DE7"/>
    <w:rsid w:val="00566B62"/>
    <w:rsid w:val="00567286"/>
    <w:rsid w:val="00567485"/>
    <w:rsid w:val="00567E68"/>
    <w:rsid w:val="00570092"/>
    <w:rsid w:val="005701EF"/>
    <w:rsid w:val="005711BB"/>
    <w:rsid w:val="00571665"/>
    <w:rsid w:val="00571901"/>
    <w:rsid w:val="00572621"/>
    <w:rsid w:val="00572ABD"/>
    <w:rsid w:val="00572BB9"/>
    <w:rsid w:val="0057335C"/>
    <w:rsid w:val="00575986"/>
    <w:rsid w:val="005813CB"/>
    <w:rsid w:val="00581D22"/>
    <w:rsid w:val="00582309"/>
    <w:rsid w:val="005842ED"/>
    <w:rsid w:val="00584976"/>
    <w:rsid w:val="00586DF0"/>
    <w:rsid w:val="00590F25"/>
    <w:rsid w:val="005911D0"/>
    <w:rsid w:val="00591CEF"/>
    <w:rsid w:val="005930F9"/>
    <w:rsid w:val="0059343E"/>
    <w:rsid w:val="00594CF3"/>
    <w:rsid w:val="0059532D"/>
    <w:rsid w:val="005953CD"/>
    <w:rsid w:val="0059548B"/>
    <w:rsid w:val="00595EBE"/>
    <w:rsid w:val="005962D5"/>
    <w:rsid w:val="00596DAD"/>
    <w:rsid w:val="005A10CD"/>
    <w:rsid w:val="005A11A0"/>
    <w:rsid w:val="005A1300"/>
    <w:rsid w:val="005A1A50"/>
    <w:rsid w:val="005A2C3A"/>
    <w:rsid w:val="005A43F9"/>
    <w:rsid w:val="005A48F2"/>
    <w:rsid w:val="005A4BC3"/>
    <w:rsid w:val="005A4C4A"/>
    <w:rsid w:val="005A5399"/>
    <w:rsid w:val="005A55A9"/>
    <w:rsid w:val="005A6014"/>
    <w:rsid w:val="005A6AD5"/>
    <w:rsid w:val="005A7154"/>
    <w:rsid w:val="005A7484"/>
    <w:rsid w:val="005A796B"/>
    <w:rsid w:val="005B048F"/>
    <w:rsid w:val="005B0624"/>
    <w:rsid w:val="005B2A3E"/>
    <w:rsid w:val="005B48E1"/>
    <w:rsid w:val="005B649E"/>
    <w:rsid w:val="005B6AD5"/>
    <w:rsid w:val="005B74B9"/>
    <w:rsid w:val="005C019C"/>
    <w:rsid w:val="005C07DD"/>
    <w:rsid w:val="005C0982"/>
    <w:rsid w:val="005C2BC2"/>
    <w:rsid w:val="005C359A"/>
    <w:rsid w:val="005C3ED2"/>
    <w:rsid w:val="005C4153"/>
    <w:rsid w:val="005C4D80"/>
    <w:rsid w:val="005C5B52"/>
    <w:rsid w:val="005C629E"/>
    <w:rsid w:val="005C640D"/>
    <w:rsid w:val="005C67DF"/>
    <w:rsid w:val="005C6AEF"/>
    <w:rsid w:val="005C729C"/>
    <w:rsid w:val="005D13AC"/>
    <w:rsid w:val="005D3018"/>
    <w:rsid w:val="005D35C1"/>
    <w:rsid w:val="005D439E"/>
    <w:rsid w:val="005D5D81"/>
    <w:rsid w:val="005D63AE"/>
    <w:rsid w:val="005D72C9"/>
    <w:rsid w:val="005E0015"/>
    <w:rsid w:val="005E0109"/>
    <w:rsid w:val="005E12B2"/>
    <w:rsid w:val="005E138A"/>
    <w:rsid w:val="005E1BBF"/>
    <w:rsid w:val="005E1F4F"/>
    <w:rsid w:val="005E2814"/>
    <w:rsid w:val="005E2F62"/>
    <w:rsid w:val="005E3C4C"/>
    <w:rsid w:val="005E4309"/>
    <w:rsid w:val="005E4F56"/>
    <w:rsid w:val="005E59AA"/>
    <w:rsid w:val="005E73A2"/>
    <w:rsid w:val="005E764A"/>
    <w:rsid w:val="005E77F9"/>
    <w:rsid w:val="005E7C7E"/>
    <w:rsid w:val="005F0491"/>
    <w:rsid w:val="005F133F"/>
    <w:rsid w:val="005F1A22"/>
    <w:rsid w:val="005F2109"/>
    <w:rsid w:val="005F25D3"/>
    <w:rsid w:val="005F260A"/>
    <w:rsid w:val="005F27D6"/>
    <w:rsid w:val="005F2C2F"/>
    <w:rsid w:val="005F3310"/>
    <w:rsid w:val="005F34C4"/>
    <w:rsid w:val="005F4271"/>
    <w:rsid w:val="005F4C26"/>
    <w:rsid w:val="005F505F"/>
    <w:rsid w:val="005F5123"/>
    <w:rsid w:val="005F53EE"/>
    <w:rsid w:val="005F66DB"/>
    <w:rsid w:val="005F67AE"/>
    <w:rsid w:val="005F7855"/>
    <w:rsid w:val="006007FE"/>
    <w:rsid w:val="006011DD"/>
    <w:rsid w:val="00601A42"/>
    <w:rsid w:val="0060420D"/>
    <w:rsid w:val="006055C5"/>
    <w:rsid w:val="006065CE"/>
    <w:rsid w:val="006066B0"/>
    <w:rsid w:val="006077D9"/>
    <w:rsid w:val="006120DC"/>
    <w:rsid w:val="00612118"/>
    <w:rsid w:val="00612828"/>
    <w:rsid w:val="006131A8"/>
    <w:rsid w:val="00614404"/>
    <w:rsid w:val="006154CD"/>
    <w:rsid w:val="0061622E"/>
    <w:rsid w:val="0061652F"/>
    <w:rsid w:val="00616ECB"/>
    <w:rsid w:val="00616EF4"/>
    <w:rsid w:val="00617D6E"/>
    <w:rsid w:val="00620AE8"/>
    <w:rsid w:val="00621446"/>
    <w:rsid w:val="00623C91"/>
    <w:rsid w:val="00624204"/>
    <w:rsid w:val="00625173"/>
    <w:rsid w:val="00625B42"/>
    <w:rsid w:val="00625C95"/>
    <w:rsid w:val="00625E99"/>
    <w:rsid w:val="00625F03"/>
    <w:rsid w:val="006263E7"/>
    <w:rsid w:val="00630122"/>
    <w:rsid w:val="00630175"/>
    <w:rsid w:val="00630993"/>
    <w:rsid w:val="00631DF0"/>
    <w:rsid w:val="006321F4"/>
    <w:rsid w:val="006325B7"/>
    <w:rsid w:val="00634615"/>
    <w:rsid w:val="0063465F"/>
    <w:rsid w:val="00634EB5"/>
    <w:rsid w:val="00635295"/>
    <w:rsid w:val="006356D2"/>
    <w:rsid w:val="00635A14"/>
    <w:rsid w:val="00636099"/>
    <w:rsid w:val="006365CD"/>
    <w:rsid w:val="00636871"/>
    <w:rsid w:val="0063693C"/>
    <w:rsid w:val="00637017"/>
    <w:rsid w:val="006372E9"/>
    <w:rsid w:val="00637336"/>
    <w:rsid w:val="00640E46"/>
    <w:rsid w:val="00641231"/>
    <w:rsid w:val="0064139B"/>
    <w:rsid w:val="00641EA9"/>
    <w:rsid w:val="00642C3E"/>
    <w:rsid w:val="00642CDF"/>
    <w:rsid w:val="00642FF2"/>
    <w:rsid w:val="006433AA"/>
    <w:rsid w:val="006434EB"/>
    <w:rsid w:val="00643E3D"/>
    <w:rsid w:val="00644283"/>
    <w:rsid w:val="006444DE"/>
    <w:rsid w:val="006447E7"/>
    <w:rsid w:val="00644AF2"/>
    <w:rsid w:val="0064694D"/>
    <w:rsid w:val="0064741E"/>
    <w:rsid w:val="006478AB"/>
    <w:rsid w:val="0065072F"/>
    <w:rsid w:val="00651ADA"/>
    <w:rsid w:val="00653143"/>
    <w:rsid w:val="006552FC"/>
    <w:rsid w:val="006558B3"/>
    <w:rsid w:val="00655B3B"/>
    <w:rsid w:val="00657530"/>
    <w:rsid w:val="00657E92"/>
    <w:rsid w:val="00661316"/>
    <w:rsid w:val="00661F96"/>
    <w:rsid w:val="0066408E"/>
    <w:rsid w:val="00664616"/>
    <w:rsid w:val="00664E90"/>
    <w:rsid w:val="00665928"/>
    <w:rsid w:val="00670376"/>
    <w:rsid w:val="00670515"/>
    <w:rsid w:val="00673A0B"/>
    <w:rsid w:val="006744F4"/>
    <w:rsid w:val="00675207"/>
    <w:rsid w:val="00675C84"/>
    <w:rsid w:val="00676F12"/>
    <w:rsid w:val="00677CA5"/>
    <w:rsid w:val="00680178"/>
    <w:rsid w:val="00680D34"/>
    <w:rsid w:val="00681237"/>
    <w:rsid w:val="006814AB"/>
    <w:rsid w:val="006817ED"/>
    <w:rsid w:val="006826F3"/>
    <w:rsid w:val="00682B28"/>
    <w:rsid w:val="0068395C"/>
    <w:rsid w:val="0068397C"/>
    <w:rsid w:val="00683EBE"/>
    <w:rsid w:val="00684AC0"/>
    <w:rsid w:val="0068561F"/>
    <w:rsid w:val="00686831"/>
    <w:rsid w:val="00687817"/>
    <w:rsid w:val="00690DC1"/>
    <w:rsid w:val="0069110C"/>
    <w:rsid w:val="006913E4"/>
    <w:rsid w:val="00691A00"/>
    <w:rsid w:val="0069284E"/>
    <w:rsid w:val="00692EC1"/>
    <w:rsid w:val="006939DD"/>
    <w:rsid w:val="006942D8"/>
    <w:rsid w:val="006947B9"/>
    <w:rsid w:val="006963FA"/>
    <w:rsid w:val="0069674B"/>
    <w:rsid w:val="00697215"/>
    <w:rsid w:val="0069790C"/>
    <w:rsid w:val="00697A15"/>
    <w:rsid w:val="00697C48"/>
    <w:rsid w:val="006A0763"/>
    <w:rsid w:val="006A1331"/>
    <w:rsid w:val="006A19BB"/>
    <w:rsid w:val="006A210B"/>
    <w:rsid w:val="006A21F3"/>
    <w:rsid w:val="006A2B59"/>
    <w:rsid w:val="006A2D40"/>
    <w:rsid w:val="006A6C51"/>
    <w:rsid w:val="006A7982"/>
    <w:rsid w:val="006B013F"/>
    <w:rsid w:val="006B02DB"/>
    <w:rsid w:val="006B0D19"/>
    <w:rsid w:val="006B0DF6"/>
    <w:rsid w:val="006B17C4"/>
    <w:rsid w:val="006B322A"/>
    <w:rsid w:val="006B373F"/>
    <w:rsid w:val="006B37D4"/>
    <w:rsid w:val="006B381A"/>
    <w:rsid w:val="006B3B0C"/>
    <w:rsid w:val="006B529D"/>
    <w:rsid w:val="006B57B1"/>
    <w:rsid w:val="006B5D80"/>
    <w:rsid w:val="006B60AB"/>
    <w:rsid w:val="006B6526"/>
    <w:rsid w:val="006B6BE0"/>
    <w:rsid w:val="006B794D"/>
    <w:rsid w:val="006B7F1B"/>
    <w:rsid w:val="006C06BE"/>
    <w:rsid w:val="006C0A0E"/>
    <w:rsid w:val="006C10ED"/>
    <w:rsid w:val="006C12F7"/>
    <w:rsid w:val="006C150B"/>
    <w:rsid w:val="006C2890"/>
    <w:rsid w:val="006C2978"/>
    <w:rsid w:val="006C389E"/>
    <w:rsid w:val="006C39E3"/>
    <w:rsid w:val="006C3D38"/>
    <w:rsid w:val="006C4020"/>
    <w:rsid w:val="006C4106"/>
    <w:rsid w:val="006C6317"/>
    <w:rsid w:val="006C6BEB"/>
    <w:rsid w:val="006C7941"/>
    <w:rsid w:val="006D0309"/>
    <w:rsid w:val="006D1733"/>
    <w:rsid w:val="006D20CB"/>
    <w:rsid w:val="006D214E"/>
    <w:rsid w:val="006D215B"/>
    <w:rsid w:val="006D2A5A"/>
    <w:rsid w:val="006D2FE6"/>
    <w:rsid w:val="006D3E68"/>
    <w:rsid w:val="006D3F67"/>
    <w:rsid w:val="006D44D6"/>
    <w:rsid w:val="006D49FA"/>
    <w:rsid w:val="006D5377"/>
    <w:rsid w:val="006D5E2B"/>
    <w:rsid w:val="006D602B"/>
    <w:rsid w:val="006D7833"/>
    <w:rsid w:val="006E0052"/>
    <w:rsid w:val="006E0C77"/>
    <w:rsid w:val="006E1631"/>
    <w:rsid w:val="006E1635"/>
    <w:rsid w:val="006E3DA0"/>
    <w:rsid w:val="006E4126"/>
    <w:rsid w:val="006E42B3"/>
    <w:rsid w:val="006E442E"/>
    <w:rsid w:val="006E499D"/>
    <w:rsid w:val="006E5262"/>
    <w:rsid w:val="006E57A3"/>
    <w:rsid w:val="006E5CC3"/>
    <w:rsid w:val="006E6622"/>
    <w:rsid w:val="006E6D48"/>
    <w:rsid w:val="006E727C"/>
    <w:rsid w:val="006E77DD"/>
    <w:rsid w:val="006E7F1C"/>
    <w:rsid w:val="006F0118"/>
    <w:rsid w:val="006F1476"/>
    <w:rsid w:val="006F23AA"/>
    <w:rsid w:val="006F2EA0"/>
    <w:rsid w:val="006F3A55"/>
    <w:rsid w:val="006F3BFE"/>
    <w:rsid w:val="006F4734"/>
    <w:rsid w:val="006F5CD0"/>
    <w:rsid w:val="006F6218"/>
    <w:rsid w:val="006F7B47"/>
    <w:rsid w:val="006F7E20"/>
    <w:rsid w:val="006F7FFB"/>
    <w:rsid w:val="007002E7"/>
    <w:rsid w:val="00703195"/>
    <w:rsid w:val="0070386D"/>
    <w:rsid w:val="00703C02"/>
    <w:rsid w:val="00704F7A"/>
    <w:rsid w:val="0070548B"/>
    <w:rsid w:val="00707C22"/>
    <w:rsid w:val="007103B6"/>
    <w:rsid w:val="00710726"/>
    <w:rsid w:val="00711F71"/>
    <w:rsid w:val="00712E72"/>
    <w:rsid w:val="00713955"/>
    <w:rsid w:val="00715303"/>
    <w:rsid w:val="00715BB2"/>
    <w:rsid w:val="00716A42"/>
    <w:rsid w:val="00720B16"/>
    <w:rsid w:val="00720C22"/>
    <w:rsid w:val="00720D19"/>
    <w:rsid w:val="00722C77"/>
    <w:rsid w:val="0072607E"/>
    <w:rsid w:val="007262B8"/>
    <w:rsid w:val="00727186"/>
    <w:rsid w:val="00730498"/>
    <w:rsid w:val="00730508"/>
    <w:rsid w:val="007305BC"/>
    <w:rsid w:val="00730FD8"/>
    <w:rsid w:val="0073111A"/>
    <w:rsid w:val="00731264"/>
    <w:rsid w:val="00732038"/>
    <w:rsid w:val="00732F58"/>
    <w:rsid w:val="007338C3"/>
    <w:rsid w:val="00734107"/>
    <w:rsid w:val="00734660"/>
    <w:rsid w:val="00735094"/>
    <w:rsid w:val="0073574D"/>
    <w:rsid w:val="00735EE0"/>
    <w:rsid w:val="0073683B"/>
    <w:rsid w:val="00736C10"/>
    <w:rsid w:val="0073745E"/>
    <w:rsid w:val="0074022C"/>
    <w:rsid w:val="00740883"/>
    <w:rsid w:val="00740AA7"/>
    <w:rsid w:val="00741A87"/>
    <w:rsid w:val="0074267B"/>
    <w:rsid w:val="00742B6C"/>
    <w:rsid w:val="00743E33"/>
    <w:rsid w:val="00744307"/>
    <w:rsid w:val="007447F3"/>
    <w:rsid w:val="007461AA"/>
    <w:rsid w:val="007465D8"/>
    <w:rsid w:val="00750525"/>
    <w:rsid w:val="00750675"/>
    <w:rsid w:val="00751036"/>
    <w:rsid w:val="00751994"/>
    <w:rsid w:val="00751F22"/>
    <w:rsid w:val="00752E8E"/>
    <w:rsid w:val="007534BA"/>
    <w:rsid w:val="00753A73"/>
    <w:rsid w:val="00755D26"/>
    <w:rsid w:val="00756736"/>
    <w:rsid w:val="0075682B"/>
    <w:rsid w:val="007568BF"/>
    <w:rsid w:val="00757389"/>
    <w:rsid w:val="007575CE"/>
    <w:rsid w:val="007578A8"/>
    <w:rsid w:val="00760CE3"/>
    <w:rsid w:val="00760F8D"/>
    <w:rsid w:val="007610AD"/>
    <w:rsid w:val="0076230A"/>
    <w:rsid w:val="00762360"/>
    <w:rsid w:val="007632BC"/>
    <w:rsid w:val="007645FF"/>
    <w:rsid w:val="00764716"/>
    <w:rsid w:val="00766652"/>
    <w:rsid w:val="00770437"/>
    <w:rsid w:val="0077064E"/>
    <w:rsid w:val="007706F4"/>
    <w:rsid w:val="00770C8A"/>
    <w:rsid w:val="007711CC"/>
    <w:rsid w:val="007712E4"/>
    <w:rsid w:val="00771B8D"/>
    <w:rsid w:val="00772BA4"/>
    <w:rsid w:val="00772C46"/>
    <w:rsid w:val="00772D77"/>
    <w:rsid w:val="0077397A"/>
    <w:rsid w:val="007741DA"/>
    <w:rsid w:val="00774961"/>
    <w:rsid w:val="00775308"/>
    <w:rsid w:val="00775373"/>
    <w:rsid w:val="007759E9"/>
    <w:rsid w:val="00775DB2"/>
    <w:rsid w:val="00775E49"/>
    <w:rsid w:val="00776364"/>
    <w:rsid w:val="00777780"/>
    <w:rsid w:val="00777A7C"/>
    <w:rsid w:val="00777B51"/>
    <w:rsid w:val="00780871"/>
    <w:rsid w:val="007814EA"/>
    <w:rsid w:val="00783637"/>
    <w:rsid w:val="00784942"/>
    <w:rsid w:val="00785622"/>
    <w:rsid w:val="00785642"/>
    <w:rsid w:val="007866A8"/>
    <w:rsid w:val="00786729"/>
    <w:rsid w:val="0078730D"/>
    <w:rsid w:val="00787461"/>
    <w:rsid w:val="007876CC"/>
    <w:rsid w:val="0078788A"/>
    <w:rsid w:val="00790383"/>
    <w:rsid w:val="0079057E"/>
    <w:rsid w:val="00790CBF"/>
    <w:rsid w:val="007919C4"/>
    <w:rsid w:val="0079297A"/>
    <w:rsid w:val="007929DF"/>
    <w:rsid w:val="007952C6"/>
    <w:rsid w:val="007967F2"/>
    <w:rsid w:val="00796CD8"/>
    <w:rsid w:val="0079730B"/>
    <w:rsid w:val="007A0100"/>
    <w:rsid w:val="007A02A4"/>
    <w:rsid w:val="007A07CD"/>
    <w:rsid w:val="007A2B10"/>
    <w:rsid w:val="007A4FE4"/>
    <w:rsid w:val="007A54B9"/>
    <w:rsid w:val="007A563D"/>
    <w:rsid w:val="007A5D26"/>
    <w:rsid w:val="007A6C40"/>
    <w:rsid w:val="007A72BA"/>
    <w:rsid w:val="007A746B"/>
    <w:rsid w:val="007A7DD5"/>
    <w:rsid w:val="007B1D04"/>
    <w:rsid w:val="007B1F68"/>
    <w:rsid w:val="007B330D"/>
    <w:rsid w:val="007B65BE"/>
    <w:rsid w:val="007B6EF0"/>
    <w:rsid w:val="007B7759"/>
    <w:rsid w:val="007B7D72"/>
    <w:rsid w:val="007B7D82"/>
    <w:rsid w:val="007C02E9"/>
    <w:rsid w:val="007C05AE"/>
    <w:rsid w:val="007C0C1E"/>
    <w:rsid w:val="007C0E8B"/>
    <w:rsid w:val="007C11EB"/>
    <w:rsid w:val="007C1274"/>
    <w:rsid w:val="007C1CFB"/>
    <w:rsid w:val="007C1E2B"/>
    <w:rsid w:val="007C2F35"/>
    <w:rsid w:val="007C3ED3"/>
    <w:rsid w:val="007C4580"/>
    <w:rsid w:val="007C57FD"/>
    <w:rsid w:val="007C5B16"/>
    <w:rsid w:val="007C5E98"/>
    <w:rsid w:val="007C5F65"/>
    <w:rsid w:val="007C7B68"/>
    <w:rsid w:val="007C7E33"/>
    <w:rsid w:val="007D01ED"/>
    <w:rsid w:val="007D0C91"/>
    <w:rsid w:val="007D1756"/>
    <w:rsid w:val="007D1F93"/>
    <w:rsid w:val="007D54C6"/>
    <w:rsid w:val="007D54C8"/>
    <w:rsid w:val="007D5EF2"/>
    <w:rsid w:val="007D701A"/>
    <w:rsid w:val="007D72CD"/>
    <w:rsid w:val="007D72EB"/>
    <w:rsid w:val="007D756C"/>
    <w:rsid w:val="007E0A5E"/>
    <w:rsid w:val="007E14B0"/>
    <w:rsid w:val="007E1DDB"/>
    <w:rsid w:val="007E4A2D"/>
    <w:rsid w:val="007E7220"/>
    <w:rsid w:val="007E7435"/>
    <w:rsid w:val="007E7C0E"/>
    <w:rsid w:val="007E7EBD"/>
    <w:rsid w:val="007F0071"/>
    <w:rsid w:val="007F0BC2"/>
    <w:rsid w:val="007F0CBC"/>
    <w:rsid w:val="007F0EEF"/>
    <w:rsid w:val="007F169D"/>
    <w:rsid w:val="007F17D8"/>
    <w:rsid w:val="007F17FC"/>
    <w:rsid w:val="007F1905"/>
    <w:rsid w:val="007F2486"/>
    <w:rsid w:val="007F32DC"/>
    <w:rsid w:val="007F3696"/>
    <w:rsid w:val="007F3798"/>
    <w:rsid w:val="007F4331"/>
    <w:rsid w:val="007F61AC"/>
    <w:rsid w:val="007F6E58"/>
    <w:rsid w:val="007F705E"/>
    <w:rsid w:val="0080059E"/>
    <w:rsid w:val="00802571"/>
    <w:rsid w:val="00802993"/>
    <w:rsid w:val="00803319"/>
    <w:rsid w:val="008037FE"/>
    <w:rsid w:val="00803DF9"/>
    <w:rsid w:val="00805DA6"/>
    <w:rsid w:val="00806F6C"/>
    <w:rsid w:val="00810052"/>
    <w:rsid w:val="008102C0"/>
    <w:rsid w:val="00810768"/>
    <w:rsid w:val="00810BD2"/>
    <w:rsid w:val="00810C60"/>
    <w:rsid w:val="00811AA7"/>
    <w:rsid w:val="00811C05"/>
    <w:rsid w:val="008131EA"/>
    <w:rsid w:val="00814845"/>
    <w:rsid w:val="008148F0"/>
    <w:rsid w:val="00814B09"/>
    <w:rsid w:val="00814D41"/>
    <w:rsid w:val="00814E0D"/>
    <w:rsid w:val="00815D58"/>
    <w:rsid w:val="00816489"/>
    <w:rsid w:val="00816CF8"/>
    <w:rsid w:val="0081766B"/>
    <w:rsid w:val="0081798D"/>
    <w:rsid w:val="00817ADF"/>
    <w:rsid w:val="008200BF"/>
    <w:rsid w:val="00820113"/>
    <w:rsid w:val="0082037A"/>
    <w:rsid w:val="00820548"/>
    <w:rsid w:val="00822968"/>
    <w:rsid w:val="00823559"/>
    <w:rsid w:val="008236D7"/>
    <w:rsid w:val="00823D80"/>
    <w:rsid w:val="0082402A"/>
    <w:rsid w:val="00826A3A"/>
    <w:rsid w:val="00827139"/>
    <w:rsid w:val="008303AA"/>
    <w:rsid w:val="008303C3"/>
    <w:rsid w:val="00830499"/>
    <w:rsid w:val="008308BA"/>
    <w:rsid w:val="00831583"/>
    <w:rsid w:val="008317C9"/>
    <w:rsid w:val="00831932"/>
    <w:rsid w:val="00832805"/>
    <w:rsid w:val="00832B07"/>
    <w:rsid w:val="00832EA9"/>
    <w:rsid w:val="0083326E"/>
    <w:rsid w:val="008343F9"/>
    <w:rsid w:val="00834915"/>
    <w:rsid w:val="008363F0"/>
    <w:rsid w:val="00837037"/>
    <w:rsid w:val="008375B7"/>
    <w:rsid w:val="00840179"/>
    <w:rsid w:val="008446E6"/>
    <w:rsid w:val="008465EA"/>
    <w:rsid w:val="00846F6E"/>
    <w:rsid w:val="0085095C"/>
    <w:rsid w:val="0085106C"/>
    <w:rsid w:val="008514D7"/>
    <w:rsid w:val="0085199A"/>
    <w:rsid w:val="0085274C"/>
    <w:rsid w:val="00852C3A"/>
    <w:rsid w:val="00852C46"/>
    <w:rsid w:val="00853279"/>
    <w:rsid w:val="00853460"/>
    <w:rsid w:val="00853551"/>
    <w:rsid w:val="00853FF6"/>
    <w:rsid w:val="00855203"/>
    <w:rsid w:val="008554F0"/>
    <w:rsid w:val="008556E6"/>
    <w:rsid w:val="00855C5F"/>
    <w:rsid w:val="00855EFB"/>
    <w:rsid w:val="00856578"/>
    <w:rsid w:val="0085747A"/>
    <w:rsid w:val="00857DE4"/>
    <w:rsid w:val="00857EA3"/>
    <w:rsid w:val="008625F6"/>
    <w:rsid w:val="00864817"/>
    <w:rsid w:val="00864B21"/>
    <w:rsid w:val="0086560A"/>
    <w:rsid w:val="00865648"/>
    <w:rsid w:val="00866031"/>
    <w:rsid w:val="00866E82"/>
    <w:rsid w:val="00873102"/>
    <w:rsid w:val="0087321C"/>
    <w:rsid w:val="00873D1E"/>
    <w:rsid w:val="008740A5"/>
    <w:rsid w:val="00874A4A"/>
    <w:rsid w:val="00875FA1"/>
    <w:rsid w:val="00876BA6"/>
    <w:rsid w:val="00876F99"/>
    <w:rsid w:val="0087769D"/>
    <w:rsid w:val="00880331"/>
    <w:rsid w:val="00880385"/>
    <w:rsid w:val="0088112D"/>
    <w:rsid w:val="00881660"/>
    <w:rsid w:val="00882458"/>
    <w:rsid w:val="00882622"/>
    <w:rsid w:val="00882AF5"/>
    <w:rsid w:val="00883DB7"/>
    <w:rsid w:val="00883EC2"/>
    <w:rsid w:val="00884898"/>
    <w:rsid w:val="00885EBA"/>
    <w:rsid w:val="00886DF5"/>
    <w:rsid w:val="008871A4"/>
    <w:rsid w:val="00891A99"/>
    <w:rsid w:val="00892356"/>
    <w:rsid w:val="00892A15"/>
    <w:rsid w:val="008948BA"/>
    <w:rsid w:val="008956C3"/>
    <w:rsid w:val="00895997"/>
    <w:rsid w:val="00896185"/>
    <w:rsid w:val="0089709F"/>
    <w:rsid w:val="00897265"/>
    <w:rsid w:val="00897496"/>
    <w:rsid w:val="00897546"/>
    <w:rsid w:val="008A07C1"/>
    <w:rsid w:val="008A0CCF"/>
    <w:rsid w:val="008A1E13"/>
    <w:rsid w:val="008A29B0"/>
    <w:rsid w:val="008A2A21"/>
    <w:rsid w:val="008A2DDE"/>
    <w:rsid w:val="008A3522"/>
    <w:rsid w:val="008A3B7B"/>
    <w:rsid w:val="008A458C"/>
    <w:rsid w:val="008A4886"/>
    <w:rsid w:val="008A4AC7"/>
    <w:rsid w:val="008A50BD"/>
    <w:rsid w:val="008A54B8"/>
    <w:rsid w:val="008A561E"/>
    <w:rsid w:val="008A56F3"/>
    <w:rsid w:val="008A58DF"/>
    <w:rsid w:val="008A5996"/>
    <w:rsid w:val="008A5A25"/>
    <w:rsid w:val="008A5F66"/>
    <w:rsid w:val="008A6CEC"/>
    <w:rsid w:val="008A6DE2"/>
    <w:rsid w:val="008A75CD"/>
    <w:rsid w:val="008A77D4"/>
    <w:rsid w:val="008A7863"/>
    <w:rsid w:val="008A7F26"/>
    <w:rsid w:val="008B0548"/>
    <w:rsid w:val="008B23E1"/>
    <w:rsid w:val="008B27C9"/>
    <w:rsid w:val="008B3AE3"/>
    <w:rsid w:val="008B4C02"/>
    <w:rsid w:val="008B4EA7"/>
    <w:rsid w:val="008B5515"/>
    <w:rsid w:val="008B5B33"/>
    <w:rsid w:val="008B65C7"/>
    <w:rsid w:val="008B7955"/>
    <w:rsid w:val="008C027C"/>
    <w:rsid w:val="008C0366"/>
    <w:rsid w:val="008C0682"/>
    <w:rsid w:val="008C1067"/>
    <w:rsid w:val="008C1753"/>
    <w:rsid w:val="008C2CA9"/>
    <w:rsid w:val="008C3A31"/>
    <w:rsid w:val="008C4408"/>
    <w:rsid w:val="008C4862"/>
    <w:rsid w:val="008C5627"/>
    <w:rsid w:val="008C6CD3"/>
    <w:rsid w:val="008C751A"/>
    <w:rsid w:val="008C757F"/>
    <w:rsid w:val="008C7709"/>
    <w:rsid w:val="008D12B1"/>
    <w:rsid w:val="008D1CD1"/>
    <w:rsid w:val="008D1F46"/>
    <w:rsid w:val="008D220A"/>
    <w:rsid w:val="008D33E2"/>
    <w:rsid w:val="008D39A6"/>
    <w:rsid w:val="008D4EEA"/>
    <w:rsid w:val="008D5A61"/>
    <w:rsid w:val="008D6649"/>
    <w:rsid w:val="008D7043"/>
    <w:rsid w:val="008D747F"/>
    <w:rsid w:val="008D7E45"/>
    <w:rsid w:val="008E0DCD"/>
    <w:rsid w:val="008E1386"/>
    <w:rsid w:val="008E24FF"/>
    <w:rsid w:val="008E2A41"/>
    <w:rsid w:val="008E3A1C"/>
    <w:rsid w:val="008E3DE1"/>
    <w:rsid w:val="008E4069"/>
    <w:rsid w:val="008E4474"/>
    <w:rsid w:val="008E458D"/>
    <w:rsid w:val="008E619A"/>
    <w:rsid w:val="008E695B"/>
    <w:rsid w:val="008E6A51"/>
    <w:rsid w:val="008E6BF9"/>
    <w:rsid w:val="008E7CC5"/>
    <w:rsid w:val="008F0131"/>
    <w:rsid w:val="008F0614"/>
    <w:rsid w:val="008F0FB2"/>
    <w:rsid w:val="008F1057"/>
    <w:rsid w:val="008F1BB3"/>
    <w:rsid w:val="008F2031"/>
    <w:rsid w:val="008F22C3"/>
    <w:rsid w:val="008F32BC"/>
    <w:rsid w:val="008F3934"/>
    <w:rsid w:val="008F566F"/>
    <w:rsid w:val="008F5913"/>
    <w:rsid w:val="008F6177"/>
    <w:rsid w:val="008F63C9"/>
    <w:rsid w:val="0090099D"/>
    <w:rsid w:val="00901FC3"/>
    <w:rsid w:val="009020B7"/>
    <w:rsid w:val="00902F51"/>
    <w:rsid w:val="009047B4"/>
    <w:rsid w:val="0090539A"/>
    <w:rsid w:val="0090555D"/>
    <w:rsid w:val="00905EE8"/>
    <w:rsid w:val="00906B51"/>
    <w:rsid w:val="00906CF0"/>
    <w:rsid w:val="009079DD"/>
    <w:rsid w:val="00907EE9"/>
    <w:rsid w:val="00910354"/>
    <w:rsid w:val="00910400"/>
    <w:rsid w:val="00910701"/>
    <w:rsid w:val="009107B1"/>
    <w:rsid w:val="00910880"/>
    <w:rsid w:val="00911646"/>
    <w:rsid w:val="0091197C"/>
    <w:rsid w:val="009125B0"/>
    <w:rsid w:val="00913B8F"/>
    <w:rsid w:val="00913ED6"/>
    <w:rsid w:val="00914D4C"/>
    <w:rsid w:val="00915C0A"/>
    <w:rsid w:val="0091649A"/>
    <w:rsid w:val="00916CF4"/>
    <w:rsid w:val="0092186F"/>
    <w:rsid w:val="00921C59"/>
    <w:rsid w:val="00921C8D"/>
    <w:rsid w:val="00922038"/>
    <w:rsid w:val="009224A5"/>
    <w:rsid w:val="00922556"/>
    <w:rsid w:val="00922DA7"/>
    <w:rsid w:val="009230AE"/>
    <w:rsid w:val="00923F21"/>
    <w:rsid w:val="00924A41"/>
    <w:rsid w:val="00924EE1"/>
    <w:rsid w:val="0092587D"/>
    <w:rsid w:val="00925D4D"/>
    <w:rsid w:val="00926109"/>
    <w:rsid w:val="009262B3"/>
    <w:rsid w:val="00927ABA"/>
    <w:rsid w:val="00927F8C"/>
    <w:rsid w:val="00933383"/>
    <w:rsid w:val="009346D9"/>
    <w:rsid w:val="00934857"/>
    <w:rsid w:val="00934D94"/>
    <w:rsid w:val="00937159"/>
    <w:rsid w:val="0094038B"/>
    <w:rsid w:val="00943874"/>
    <w:rsid w:val="0094466E"/>
    <w:rsid w:val="0094476F"/>
    <w:rsid w:val="009454B7"/>
    <w:rsid w:val="0094565B"/>
    <w:rsid w:val="00945A50"/>
    <w:rsid w:val="009463D8"/>
    <w:rsid w:val="0094693A"/>
    <w:rsid w:val="00947A07"/>
    <w:rsid w:val="00947F09"/>
    <w:rsid w:val="00950010"/>
    <w:rsid w:val="009502A3"/>
    <w:rsid w:val="00951039"/>
    <w:rsid w:val="00951935"/>
    <w:rsid w:val="00951C58"/>
    <w:rsid w:val="009523E7"/>
    <w:rsid w:val="009525E8"/>
    <w:rsid w:val="00952B7F"/>
    <w:rsid w:val="0095424F"/>
    <w:rsid w:val="00954C8D"/>
    <w:rsid w:val="009550D5"/>
    <w:rsid w:val="009551B0"/>
    <w:rsid w:val="0095568E"/>
    <w:rsid w:val="0095592B"/>
    <w:rsid w:val="00957B1B"/>
    <w:rsid w:val="00957B8B"/>
    <w:rsid w:val="00957FA8"/>
    <w:rsid w:val="009604DB"/>
    <w:rsid w:val="009606EB"/>
    <w:rsid w:val="00961E7D"/>
    <w:rsid w:val="00963AB8"/>
    <w:rsid w:val="0096481A"/>
    <w:rsid w:val="00965698"/>
    <w:rsid w:val="00965BAA"/>
    <w:rsid w:val="00965C15"/>
    <w:rsid w:val="00965C82"/>
    <w:rsid w:val="00965E0A"/>
    <w:rsid w:val="00965E9D"/>
    <w:rsid w:val="00966255"/>
    <w:rsid w:val="00966493"/>
    <w:rsid w:val="00966504"/>
    <w:rsid w:val="009665C9"/>
    <w:rsid w:val="00967231"/>
    <w:rsid w:val="0097013C"/>
    <w:rsid w:val="0097067F"/>
    <w:rsid w:val="009715EA"/>
    <w:rsid w:val="009729C4"/>
    <w:rsid w:val="009730CC"/>
    <w:rsid w:val="00973661"/>
    <w:rsid w:val="009737FC"/>
    <w:rsid w:val="00973F50"/>
    <w:rsid w:val="0097442D"/>
    <w:rsid w:val="009752F3"/>
    <w:rsid w:val="00975363"/>
    <w:rsid w:val="0097662D"/>
    <w:rsid w:val="0097755D"/>
    <w:rsid w:val="00977659"/>
    <w:rsid w:val="009805F4"/>
    <w:rsid w:val="00980C81"/>
    <w:rsid w:val="009810CF"/>
    <w:rsid w:val="009818AD"/>
    <w:rsid w:val="00983A66"/>
    <w:rsid w:val="009841F4"/>
    <w:rsid w:val="00985277"/>
    <w:rsid w:val="009859B8"/>
    <w:rsid w:val="0098642F"/>
    <w:rsid w:val="0098772B"/>
    <w:rsid w:val="00990616"/>
    <w:rsid w:val="00991273"/>
    <w:rsid w:val="00991533"/>
    <w:rsid w:val="0099155B"/>
    <w:rsid w:val="00992032"/>
    <w:rsid w:val="0099217D"/>
    <w:rsid w:val="009921B1"/>
    <w:rsid w:val="00995E84"/>
    <w:rsid w:val="009966E3"/>
    <w:rsid w:val="00996A6E"/>
    <w:rsid w:val="00997851"/>
    <w:rsid w:val="009A0C10"/>
    <w:rsid w:val="009A14C8"/>
    <w:rsid w:val="009A1DFA"/>
    <w:rsid w:val="009A2D1E"/>
    <w:rsid w:val="009A3029"/>
    <w:rsid w:val="009A46AB"/>
    <w:rsid w:val="009A4DAD"/>
    <w:rsid w:val="009A7D99"/>
    <w:rsid w:val="009B029F"/>
    <w:rsid w:val="009B1123"/>
    <w:rsid w:val="009B1307"/>
    <w:rsid w:val="009B1886"/>
    <w:rsid w:val="009B294F"/>
    <w:rsid w:val="009B2F68"/>
    <w:rsid w:val="009B38BC"/>
    <w:rsid w:val="009B3B55"/>
    <w:rsid w:val="009B4A94"/>
    <w:rsid w:val="009B4B44"/>
    <w:rsid w:val="009B4D3A"/>
    <w:rsid w:val="009B4E2C"/>
    <w:rsid w:val="009B4ED5"/>
    <w:rsid w:val="009B5797"/>
    <w:rsid w:val="009B5B27"/>
    <w:rsid w:val="009B68F1"/>
    <w:rsid w:val="009B6A20"/>
    <w:rsid w:val="009B7102"/>
    <w:rsid w:val="009B7C58"/>
    <w:rsid w:val="009C01E7"/>
    <w:rsid w:val="009C099B"/>
    <w:rsid w:val="009C0D5A"/>
    <w:rsid w:val="009C2DAC"/>
    <w:rsid w:val="009C3E98"/>
    <w:rsid w:val="009C3F06"/>
    <w:rsid w:val="009C432D"/>
    <w:rsid w:val="009C4765"/>
    <w:rsid w:val="009C55FF"/>
    <w:rsid w:val="009C5F32"/>
    <w:rsid w:val="009C6C03"/>
    <w:rsid w:val="009C7414"/>
    <w:rsid w:val="009C7419"/>
    <w:rsid w:val="009D0429"/>
    <w:rsid w:val="009D090D"/>
    <w:rsid w:val="009D0D10"/>
    <w:rsid w:val="009D317C"/>
    <w:rsid w:val="009D3624"/>
    <w:rsid w:val="009D3831"/>
    <w:rsid w:val="009D510F"/>
    <w:rsid w:val="009D60AF"/>
    <w:rsid w:val="009D612B"/>
    <w:rsid w:val="009D7796"/>
    <w:rsid w:val="009E13D5"/>
    <w:rsid w:val="009E1497"/>
    <w:rsid w:val="009E216F"/>
    <w:rsid w:val="009E2200"/>
    <w:rsid w:val="009E229A"/>
    <w:rsid w:val="009E242A"/>
    <w:rsid w:val="009E3969"/>
    <w:rsid w:val="009E3BE8"/>
    <w:rsid w:val="009E40F5"/>
    <w:rsid w:val="009E4A6A"/>
    <w:rsid w:val="009E4D75"/>
    <w:rsid w:val="009E521C"/>
    <w:rsid w:val="009E5F1E"/>
    <w:rsid w:val="009E6B87"/>
    <w:rsid w:val="009F15BE"/>
    <w:rsid w:val="009F198D"/>
    <w:rsid w:val="009F26CF"/>
    <w:rsid w:val="009F447A"/>
    <w:rsid w:val="009F4967"/>
    <w:rsid w:val="009F5E80"/>
    <w:rsid w:val="009F6B93"/>
    <w:rsid w:val="009F7076"/>
    <w:rsid w:val="009F74BD"/>
    <w:rsid w:val="00A001F0"/>
    <w:rsid w:val="00A00F8A"/>
    <w:rsid w:val="00A0121B"/>
    <w:rsid w:val="00A015DF"/>
    <w:rsid w:val="00A01A0A"/>
    <w:rsid w:val="00A04A7B"/>
    <w:rsid w:val="00A0513C"/>
    <w:rsid w:val="00A06E5B"/>
    <w:rsid w:val="00A074BE"/>
    <w:rsid w:val="00A078B2"/>
    <w:rsid w:val="00A1030D"/>
    <w:rsid w:val="00A10822"/>
    <w:rsid w:val="00A10D0A"/>
    <w:rsid w:val="00A11611"/>
    <w:rsid w:val="00A11847"/>
    <w:rsid w:val="00A120CA"/>
    <w:rsid w:val="00A125FD"/>
    <w:rsid w:val="00A12D61"/>
    <w:rsid w:val="00A12F41"/>
    <w:rsid w:val="00A136BC"/>
    <w:rsid w:val="00A13FC4"/>
    <w:rsid w:val="00A14570"/>
    <w:rsid w:val="00A14FA6"/>
    <w:rsid w:val="00A1581A"/>
    <w:rsid w:val="00A161E6"/>
    <w:rsid w:val="00A1680C"/>
    <w:rsid w:val="00A16896"/>
    <w:rsid w:val="00A17757"/>
    <w:rsid w:val="00A17973"/>
    <w:rsid w:val="00A22655"/>
    <w:rsid w:val="00A22833"/>
    <w:rsid w:val="00A23CB9"/>
    <w:rsid w:val="00A2452D"/>
    <w:rsid w:val="00A254BF"/>
    <w:rsid w:val="00A25826"/>
    <w:rsid w:val="00A258B4"/>
    <w:rsid w:val="00A25BE7"/>
    <w:rsid w:val="00A264BA"/>
    <w:rsid w:val="00A26742"/>
    <w:rsid w:val="00A26C5C"/>
    <w:rsid w:val="00A275E7"/>
    <w:rsid w:val="00A27B45"/>
    <w:rsid w:val="00A3083E"/>
    <w:rsid w:val="00A31B36"/>
    <w:rsid w:val="00A32774"/>
    <w:rsid w:val="00A32C91"/>
    <w:rsid w:val="00A3305C"/>
    <w:rsid w:val="00A33544"/>
    <w:rsid w:val="00A3446C"/>
    <w:rsid w:val="00A35748"/>
    <w:rsid w:val="00A36267"/>
    <w:rsid w:val="00A363B4"/>
    <w:rsid w:val="00A365B7"/>
    <w:rsid w:val="00A3703C"/>
    <w:rsid w:val="00A37261"/>
    <w:rsid w:val="00A37398"/>
    <w:rsid w:val="00A3783A"/>
    <w:rsid w:val="00A37F75"/>
    <w:rsid w:val="00A40559"/>
    <w:rsid w:val="00A41443"/>
    <w:rsid w:val="00A41707"/>
    <w:rsid w:val="00A41D1F"/>
    <w:rsid w:val="00A42B1A"/>
    <w:rsid w:val="00A4399E"/>
    <w:rsid w:val="00A44042"/>
    <w:rsid w:val="00A44ABC"/>
    <w:rsid w:val="00A459D6"/>
    <w:rsid w:val="00A45AFF"/>
    <w:rsid w:val="00A46DAE"/>
    <w:rsid w:val="00A50CA3"/>
    <w:rsid w:val="00A51132"/>
    <w:rsid w:val="00A51D8E"/>
    <w:rsid w:val="00A52A9D"/>
    <w:rsid w:val="00A54DBF"/>
    <w:rsid w:val="00A556EF"/>
    <w:rsid w:val="00A558C4"/>
    <w:rsid w:val="00A55A1E"/>
    <w:rsid w:val="00A55AEA"/>
    <w:rsid w:val="00A561C0"/>
    <w:rsid w:val="00A57EF7"/>
    <w:rsid w:val="00A6012E"/>
    <w:rsid w:val="00A6090E"/>
    <w:rsid w:val="00A60968"/>
    <w:rsid w:val="00A6107F"/>
    <w:rsid w:val="00A62496"/>
    <w:rsid w:val="00A62815"/>
    <w:rsid w:val="00A6290C"/>
    <w:rsid w:val="00A62C45"/>
    <w:rsid w:val="00A64BCE"/>
    <w:rsid w:val="00A64D3D"/>
    <w:rsid w:val="00A6590E"/>
    <w:rsid w:val="00A65C56"/>
    <w:rsid w:val="00A73DFC"/>
    <w:rsid w:val="00A745BD"/>
    <w:rsid w:val="00A74A47"/>
    <w:rsid w:val="00A7693A"/>
    <w:rsid w:val="00A76FE4"/>
    <w:rsid w:val="00A80041"/>
    <w:rsid w:val="00A80DFC"/>
    <w:rsid w:val="00A813B3"/>
    <w:rsid w:val="00A82A23"/>
    <w:rsid w:val="00A83A8C"/>
    <w:rsid w:val="00A83E03"/>
    <w:rsid w:val="00A8415E"/>
    <w:rsid w:val="00A84914"/>
    <w:rsid w:val="00A8633E"/>
    <w:rsid w:val="00A86460"/>
    <w:rsid w:val="00A867C3"/>
    <w:rsid w:val="00A873DE"/>
    <w:rsid w:val="00A87544"/>
    <w:rsid w:val="00A87C1A"/>
    <w:rsid w:val="00A87FC5"/>
    <w:rsid w:val="00A90B36"/>
    <w:rsid w:val="00A92191"/>
    <w:rsid w:val="00A9237D"/>
    <w:rsid w:val="00A92C92"/>
    <w:rsid w:val="00A93C07"/>
    <w:rsid w:val="00A9439D"/>
    <w:rsid w:val="00A946AE"/>
    <w:rsid w:val="00A94C3A"/>
    <w:rsid w:val="00A94E80"/>
    <w:rsid w:val="00A95031"/>
    <w:rsid w:val="00A95638"/>
    <w:rsid w:val="00A96AFD"/>
    <w:rsid w:val="00A97E86"/>
    <w:rsid w:val="00AA1199"/>
    <w:rsid w:val="00AA4B7F"/>
    <w:rsid w:val="00AA5207"/>
    <w:rsid w:val="00AA521E"/>
    <w:rsid w:val="00AA54F1"/>
    <w:rsid w:val="00AA5558"/>
    <w:rsid w:val="00AA60F7"/>
    <w:rsid w:val="00AA6B2F"/>
    <w:rsid w:val="00AA7825"/>
    <w:rsid w:val="00AA7B66"/>
    <w:rsid w:val="00AB0048"/>
    <w:rsid w:val="00AB04BC"/>
    <w:rsid w:val="00AB0A52"/>
    <w:rsid w:val="00AB0C7F"/>
    <w:rsid w:val="00AB11DF"/>
    <w:rsid w:val="00AB1C4C"/>
    <w:rsid w:val="00AB2831"/>
    <w:rsid w:val="00AB28E5"/>
    <w:rsid w:val="00AB36AB"/>
    <w:rsid w:val="00AB3940"/>
    <w:rsid w:val="00AB3D40"/>
    <w:rsid w:val="00AB3EF4"/>
    <w:rsid w:val="00AB429D"/>
    <w:rsid w:val="00AB49CA"/>
    <w:rsid w:val="00AB4BBB"/>
    <w:rsid w:val="00AB4E6A"/>
    <w:rsid w:val="00AB4FFA"/>
    <w:rsid w:val="00AB509F"/>
    <w:rsid w:val="00AB51AF"/>
    <w:rsid w:val="00AB58CF"/>
    <w:rsid w:val="00AB6A6A"/>
    <w:rsid w:val="00AB7373"/>
    <w:rsid w:val="00AB7387"/>
    <w:rsid w:val="00AB73AF"/>
    <w:rsid w:val="00AB7658"/>
    <w:rsid w:val="00AC0DB0"/>
    <w:rsid w:val="00AC1AB7"/>
    <w:rsid w:val="00AC41CB"/>
    <w:rsid w:val="00AC4E4E"/>
    <w:rsid w:val="00AC501B"/>
    <w:rsid w:val="00AC57BE"/>
    <w:rsid w:val="00AC58F4"/>
    <w:rsid w:val="00AC5BB6"/>
    <w:rsid w:val="00AC65B1"/>
    <w:rsid w:val="00AC6862"/>
    <w:rsid w:val="00AC7597"/>
    <w:rsid w:val="00AC7625"/>
    <w:rsid w:val="00AD0640"/>
    <w:rsid w:val="00AD10BC"/>
    <w:rsid w:val="00AD1D87"/>
    <w:rsid w:val="00AD29C2"/>
    <w:rsid w:val="00AD3FC9"/>
    <w:rsid w:val="00AD4554"/>
    <w:rsid w:val="00AD47C6"/>
    <w:rsid w:val="00AD5135"/>
    <w:rsid w:val="00AD578D"/>
    <w:rsid w:val="00AD5DD4"/>
    <w:rsid w:val="00AD6F2E"/>
    <w:rsid w:val="00AD6F82"/>
    <w:rsid w:val="00AE0216"/>
    <w:rsid w:val="00AE06F9"/>
    <w:rsid w:val="00AE0791"/>
    <w:rsid w:val="00AE0F44"/>
    <w:rsid w:val="00AE1655"/>
    <w:rsid w:val="00AE304D"/>
    <w:rsid w:val="00AE3940"/>
    <w:rsid w:val="00AE468E"/>
    <w:rsid w:val="00AE6973"/>
    <w:rsid w:val="00AE7605"/>
    <w:rsid w:val="00AE7C99"/>
    <w:rsid w:val="00AE7CC8"/>
    <w:rsid w:val="00AE7DC0"/>
    <w:rsid w:val="00AF03F9"/>
    <w:rsid w:val="00AF097A"/>
    <w:rsid w:val="00AF0B67"/>
    <w:rsid w:val="00AF1136"/>
    <w:rsid w:val="00AF173D"/>
    <w:rsid w:val="00AF1A7C"/>
    <w:rsid w:val="00AF2D90"/>
    <w:rsid w:val="00AF352D"/>
    <w:rsid w:val="00AF405D"/>
    <w:rsid w:val="00AF5AA3"/>
    <w:rsid w:val="00AF5DAA"/>
    <w:rsid w:val="00AF5DF9"/>
    <w:rsid w:val="00AF65FC"/>
    <w:rsid w:val="00AF6B6D"/>
    <w:rsid w:val="00AF6D5D"/>
    <w:rsid w:val="00AF732F"/>
    <w:rsid w:val="00AF7334"/>
    <w:rsid w:val="00AF76A3"/>
    <w:rsid w:val="00AF76B2"/>
    <w:rsid w:val="00B01175"/>
    <w:rsid w:val="00B018D2"/>
    <w:rsid w:val="00B01CEE"/>
    <w:rsid w:val="00B02108"/>
    <w:rsid w:val="00B02645"/>
    <w:rsid w:val="00B02D45"/>
    <w:rsid w:val="00B04218"/>
    <w:rsid w:val="00B04D95"/>
    <w:rsid w:val="00B0523B"/>
    <w:rsid w:val="00B05E80"/>
    <w:rsid w:val="00B05FCC"/>
    <w:rsid w:val="00B063AA"/>
    <w:rsid w:val="00B079A5"/>
    <w:rsid w:val="00B07A36"/>
    <w:rsid w:val="00B124B4"/>
    <w:rsid w:val="00B1255F"/>
    <w:rsid w:val="00B13670"/>
    <w:rsid w:val="00B14189"/>
    <w:rsid w:val="00B15588"/>
    <w:rsid w:val="00B15BCC"/>
    <w:rsid w:val="00B15C1B"/>
    <w:rsid w:val="00B15FC8"/>
    <w:rsid w:val="00B16A66"/>
    <w:rsid w:val="00B16ED1"/>
    <w:rsid w:val="00B17D1F"/>
    <w:rsid w:val="00B202ED"/>
    <w:rsid w:val="00B20857"/>
    <w:rsid w:val="00B209A3"/>
    <w:rsid w:val="00B20FD4"/>
    <w:rsid w:val="00B210B1"/>
    <w:rsid w:val="00B21B1D"/>
    <w:rsid w:val="00B2441E"/>
    <w:rsid w:val="00B24F6C"/>
    <w:rsid w:val="00B251E6"/>
    <w:rsid w:val="00B257B4"/>
    <w:rsid w:val="00B26479"/>
    <w:rsid w:val="00B273C4"/>
    <w:rsid w:val="00B302A7"/>
    <w:rsid w:val="00B31773"/>
    <w:rsid w:val="00B31A68"/>
    <w:rsid w:val="00B32885"/>
    <w:rsid w:val="00B33083"/>
    <w:rsid w:val="00B3627D"/>
    <w:rsid w:val="00B4089A"/>
    <w:rsid w:val="00B42BB1"/>
    <w:rsid w:val="00B43559"/>
    <w:rsid w:val="00B43D57"/>
    <w:rsid w:val="00B44AEB"/>
    <w:rsid w:val="00B44C76"/>
    <w:rsid w:val="00B45E18"/>
    <w:rsid w:val="00B46116"/>
    <w:rsid w:val="00B46C61"/>
    <w:rsid w:val="00B46D93"/>
    <w:rsid w:val="00B47B72"/>
    <w:rsid w:val="00B47C99"/>
    <w:rsid w:val="00B50118"/>
    <w:rsid w:val="00B50588"/>
    <w:rsid w:val="00B51B8A"/>
    <w:rsid w:val="00B51C01"/>
    <w:rsid w:val="00B522D2"/>
    <w:rsid w:val="00B523B5"/>
    <w:rsid w:val="00B53D1B"/>
    <w:rsid w:val="00B54D60"/>
    <w:rsid w:val="00B55575"/>
    <w:rsid w:val="00B560ED"/>
    <w:rsid w:val="00B56CC9"/>
    <w:rsid w:val="00B57FC3"/>
    <w:rsid w:val="00B57FDE"/>
    <w:rsid w:val="00B6079C"/>
    <w:rsid w:val="00B614FA"/>
    <w:rsid w:val="00B63100"/>
    <w:rsid w:val="00B6333D"/>
    <w:rsid w:val="00B6337F"/>
    <w:rsid w:val="00B64B2D"/>
    <w:rsid w:val="00B66BCD"/>
    <w:rsid w:val="00B66DFD"/>
    <w:rsid w:val="00B6747B"/>
    <w:rsid w:val="00B67527"/>
    <w:rsid w:val="00B71436"/>
    <w:rsid w:val="00B73767"/>
    <w:rsid w:val="00B739F6"/>
    <w:rsid w:val="00B75598"/>
    <w:rsid w:val="00B756D6"/>
    <w:rsid w:val="00B758FC"/>
    <w:rsid w:val="00B772D8"/>
    <w:rsid w:val="00B806CC"/>
    <w:rsid w:val="00B81259"/>
    <w:rsid w:val="00B8156B"/>
    <w:rsid w:val="00B81AF5"/>
    <w:rsid w:val="00B82CDE"/>
    <w:rsid w:val="00B82D8E"/>
    <w:rsid w:val="00B83036"/>
    <w:rsid w:val="00B836F4"/>
    <w:rsid w:val="00B83B7E"/>
    <w:rsid w:val="00B83F56"/>
    <w:rsid w:val="00B856FA"/>
    <w:rsid w:val="00B8630C"/>
    <w:rsid w:val="00B87126"/>
    <w:rsid w:val="00B873F0"/>
    <w:rsid w:val="00B87631"/>
    <w:rsid w:val="00B877DB"/>
    <w:rsid w:val="00B87B8F"/>
    <w:rsid w:val="00B87C6F"/>
    <w:rsid w:val="00B90458"/>
    <w:rsid w:val="00B91EC1"/>
    <w:rsid w:val="00B92983"/>
    <w:rsid w:val="00B92AA0"/>
    <w:rsid w:val="00B92D13"/>
    <w:rsid w:val="00B93716"/>
    <w:rsid w:val="00B939F6"/>
    <w:rsid w:val="00B93AAD"/>
    <w:rsid w:val="00B93BF7"/>
    <w:rsid w:val="00B952C5"/>
    <w:rsid w:val="00B953DC"/>
    <w:rsid w:val="00B96062"/>
    <w:rsid w:val="00B9608A"/>
    <w:rsid w:val="00B961EB"/>
    <w:rsid w:val="00B96620"/>
    <w:rsid w:val="00B96AEE"/>
    <w:rsid w:val="00BA0527"/>
    <w:rsid w:val="00BA06B1"/>
    <w:rsid w:val="00BA0E12"/>
    <w:rsid w:val="00BA1253"/>
    <w:rsid w:val="00BA15EF"/>
    <w:rsid w:val="00BA1746"/>
    <w:rsid w:val="00BA1777"/>
    <w:rsid w:val="00BA1885"/>
    <w:rsid w:val="00BA1B5D"/>
    <w:rsid w:val="00BA1CA8"/>
    <w:rsid w:val="00BA1E9E"/>
    <w:rsid w:val="00BA2A05"/>
    <w:rsid w:val="00BA4150"/>
    <w:rsid w:val="00BA5396"/>
    <w:rsid w:val="00BA56CE"/>
    <w:rsid w:val="00BA6190"/>
    <w:rsid w:val="00BA63CC"/>
    <w:rsid w:val="00BA6E03"/>
    <w:rsid w:val="00BA7EDA"/>
    <w:rsid w:val="00BB0392"/>
    <w:rsid w:val="00BB148C"/>
    <w:rsid w:val="00BB1A8F"/>
    <w:rsid w:val="00BB2F1F"/>
    <w:rsid w:val="00BB3166"/>
    <w:rsid w:val="00BB370A"/>
    <w:rsid w:val="00BB3E81"/>
    <w:rsid w:val="00BB4F50"/>
    <w:rsid w:val="00BB53B0"/>
    <w:rsid w:val="00BB73C7"/>
    <w:rsid w:val="00BB76B2"/>
    <w:rsid w:val="00BB796D"/>
    <w:rsid w:val="00BC01A1"/>
    <w:rsid w:val="00BC1C1E"/>
    <w:rsid w:val="00BC23F1"/>
    <w:rsid w:val="00BC3C34"/>
    <w:rsid w:val="00BC3F59"/>
    <w:rsid w:val="00BC4110"/>
    <w:rsid w:val="00BC4FDB"/>
    <w:rsid w:val="00BC55CB"/>
    <w:rsid w:val="00BC62BB"/>
    <w:rsid w:val="00BC70E1"/>
    <w:rsid w:val="00BD0B63"/>
    <w:rsid w:val="00BD0C5B"/>
    <w:rsid w:val="00BD1000"/>
    <w:rsid w:val="00BD1BD6"/>
    <w:rsid w:val="00BD2384"/>
    <w:rsid w:val="00BD2A12"/>
    <w:rsid w:val="00BD3CF1"/>
    <w:rsid w:val="00BD3F07"/>
    <w:rsid w:val="00BD4D8F"/>
    <w:rsid w:val="00BD58E5"/>
    <w:rsid w:val="00BD612B"/>
    <w:rsid w:val="00BD776D"/>
    <w:rsid w:val="00BD7E53"/>
    <w:rsid w:val="00BE00FA"/>
    <w:rsid w:val="00BE33E3"/>
    <w:rsid w:val="00BE3401"/>
    <w:rsid w:val="00BE3733"/>
    <w:rsid w:val="00BE643B"/>
    <w:rsid w:val="00BE6BE9"/>
    <w:rsid w:val="00BE6FC7"/>
    <w:rsid w:val="00BF027E"/>
    <w:rsid w:val="00BF27BB"/>
    <w:rsid w:val="00BF2C9D"/>
    <w:rsid w:val="00BF3003"/>
    <w:rsid w:val="00BF49E3"/>
    <w:rsid w:val="00BF5204"/>
    <w:rsid w:val="00BF55E4"/>
    <w:rsid w:val="00BF55F1"/>
    <w:rsid w:val="00BF5628"/>
    <w:rsid w:val="00BF57A5"/>
    <w:rsid w:val="00BF64D3"/>
    <w:rsid w:val="00BF6715"/>
    <w:rsid w:val="00BF6B2E"/>
    <w:rsid w:val="00C00016"/>
    <w:rsid w:val="00C00B25"/>
    <w:rsid w:val="00C02C3C"/>
    <w:rsid w:val="00C03B88"/>
    <w:rsid w:val="00C04ECC"/>
    <w:rsid w:val="00C053B5"/>
    <w:rsid w:val="00C05623"/>
    <w:rsid w:val="00C063BE"/>
    <w:rsid w:val="00C07482"/>
    <w:rsid w:val="00C10105"/>
    <w:rsid w:val="00C10C42"/>
    <w:rsid w:val="00C115FA"/>
    <w:rsid w:val="00C12E76"/>
    <w:rsid w:val="00C12ED7"/>
    <w:rsid w:val="00C1321F"/>
    <w:rsid w:val="00C13245"/>
    <w:rsid w:val="00C13A69"/>
    <w:rsid w:val="00C14A05"/>
    <w:rsid w:val="00C16032"/>
    <w:rsid w:val="00C16A33"/>
    <w:rsid w:val="00C16ACD"/>
    <w:rsid w:val="00C171BF"/>
    <w:rsid w:val="00C173E4"/>
    <w:rsid w:val="00C17513"/>
    <w:rsid w:val="00C17B3B"/>
    <w:rsid w:val="00C17C3B"/>
    <w:rsid w:val="00C20E44"/>
    <w:rsid w:val="00C21635"/>
    <w:rsid w:val="00C21817"/>
    <w:rsid w:val="00C2195E"/>
    <w:rsid w:val="00C22FE9"/>
    <w:rsid w:val="00C23980"/>
    <w:rsid w:val="00C23A3C"/>
    <w:rsid w:val="00C23DC3"/>
    <w:rsid w:val="00C25F93"/>
    <w:rsid w:val="00C2605D"/>
    <w:rsid w:val="00C278B6"/>
    <w:rsid w:val="00C27E57"/>
    <w:rsid w:val="00C301B3"/>
    <w:rsid w:val="00C30C35"/>
    <w:rsid w:val="00C311CC"/>
    <w:rsid w:val="00C31469"/>
    <w:rsid w:val="00C315EB"/>
    <w:rsid w:val="00C319C9"/>
    <w:rsid w:val="00C31BF1"/>
    <w:rsid w:val="00C31DCF"/>
    <w:rsid w:val="00C32237"/>
    <w:rsid w:val="00C330A4"/>
    <w:rsid w:val="00C336D7"/>
    <w:rsid w:val="00C336DA"/>
    <w:rsid w:val="00C336ED"/>
    <w:rsid w:val="00C3380B"/>
    <w:rsid w:val="00C33B4F"/>
    <w:rsid w:val="00C35416"/>
    <w:rsid w:val="00C362C8"/>
    <w:rsid w:val="00C3647A"/>
    <w:rsid w:val="00C36B9F"/>
    <w:rsid w:val="00C373E0"/>
    <w:rsid w:val="00C37A27"/>
    <w:rsid w:val="00C40CD6"/>
    <w:rsid w:val="00C4154C"/>
    <w:rsid w:val="00C4220A"/>
    <w:rsid w:val="00C42BFD"/>
    <w:rsid w:val="00C43FA1"/>
    <w:rsid w:val="00C45142"/>
    <w:rsid w:val="00C458CD"/>
    <w:rsid w:val="00C46CD2"/>
    <w:rsid w:val="00C47987"/>
    <w:rsid w:val="00C50D14"/>
    <w:rsid w:val="00C52455"/>
    <w:rsid w:val="00C52E7F"/>
    <w:rsid w:val="00C54A0B"/>
    <w:rsid w:val="00C56B53"/>
    <w:rsid w:val="00C57A7E"/>
    <w:rsid w:val="00C57D76"/>
    <w:rsid w:val="00C608CD"/>
    <w:rsid w:val="00C619E8"/>
    <w:rsid w:val="00C61DFC"/>
    <w:rsid w:val="00C62CD0"/>
    <w:rsid w:val="00C63B03"/>
    <w:rsid w:val="00C63DCB"/>
    <w:rsid w:val="00C63E54"/>
    <w:rsid w:val="00C63E82"/>
    <w:rsid w:val="00C63EFA"/>
    <w:rsid w:val="00C6400C"/>
    <w:rsid w:val="00C64C23"/>
    <w:rsid w:val="00C660F9"/>
    <w:rsid w:val="00C66F15"/>
    <w:rsid w:val="00C66FB3"/>
    <w:rsid w:val="00C67689"/>
    <w:rsid w:val="00C67F07"/>
    <w:rsid w:val="00C70106"/>
    <w:rsid w:val="00C70212"/>
    <w:rsid w:val="00C70566"/>
    <w:rsid w:val="00C70C9B"/>
    <w:rsid w:val="00C71CC8"/>
    <w:rsid w:val="00C745E4"/>
    <w:rsid w:val="00C7631E"/>
    <w:rsid w:val="00C76D17"/>
    <w:rsid w:val="00C774D9"/>
    <w:rsid w:val="00C81113"/>
    <w:rsid w:val="00C816F3"/>
    <w:rsid w:val="00C81749"/>
    <w:rsid w:val="00C818E1"/>
    <w:rsid w:val="00C828DF"/>
    <w:rsid w:val="00C82AD5"/>
    <w:rsid w:val="00C82B43"/>
    <w:rsid w:val="00C83228"/>
    <w:rsid w:val="00C836A8"/>
    <w:rsid w:val="00C83BC0"/>
    <w:rsid w:val="00C84C27"/>
    <w:rsid w:val="00C8579C"/>
    <w:rsid w:val="00C85C99"/>
    <w:rsid w:val="00C86FB7"/>
    <w:rsid w:val="00C90605"/>
    <w:rsid w:val="00C90858"/>
    <w:rsid w:val="00C90A34"/>
    <w:rsid w:val="00C91002"/>
    <w:rsid w:val="00C9132F"/>
    <w:rsid w:val="00C91A02"/>
    <w:rsid w:val="00C91A21"/>
    <w:rsid w:val="00C92F44"/>
    <w:rsid w:val="00C936EC"/>
    <w:rsid w:val="00C93A62"/>
    <w:rsid w:val="00C93EEA"/>
    <w:rsid w:val="00C9528B"/>
    <w:rsid w:val="00C956BE"/>
    <w:rsid w:val="00C96084"/>
    <w:rsid w:val="00C961EB"/>
    <w:rsid w:val="00C967B1"/>
    <w:rsid w:val="00CA1B4C"/>
    <w:rsid w:val="00CA2117"/>
    <w:rsid w:val="00CA277D"/>
    <w:rsid w:val="00CA2D23"/>
    <w:rsid w:val="00CA2F2A"/>
    <w:rsid w:val="00CA3796"/>
    <w:rsid w:val="00CA3F82"/>
    <w:rsid w:val="00CA4377"/>
    <w:rsid w:val="00CA45CB"/>
    <w:rsid w:val="00CA45DD"/>
    <w:rsid w:val="00CA583F"/>
    <w:rsid w:val="00CA5924"/>
    <w:rsid w:val="00CA5F9C"/>
    <w:rsid w:val="00CA60DE"/>
    <w:rsid w:val="00CA6476"/>
    <w:rsid w:val="00CA78DF"/>
    <w:rsid w:val="00CB079C"/>
    <w:rsid w:val="00CB0995"/>
    <w:rsid w:val="00CB121A"/>
    <w:rsid w:val="00CB1F50"/>
    <w:rsid w:val="00CB2713"/>
    <w:rsid w:val="00CB411B"/>
    <w:rsid w:val="00CB43C6"/>
    <w:rsid w:val="00CB4CD7"/>
    <w:rsid w:val="00CB5056"/>
    <w:rsid w:val="00CB5697"/>
    <w:rsid w:val="00CB5A59"/>
    <w:rsid w:val="00CB6EA8"/>
    <w:rsid w:val="00CB7BE3"/>
    <w:rsid w:val="00CC042A"/>
    <w:rsid w:val="00CC0F8B"/>
    <w:rsid w:val="00CC33F1"/>
    <w:rsid w:val="00CC4167"/>
    <w:rsid w:val="00CC41EE"/>
    <w:rsid w:val="00CC58E9"/>
    <w:rsid w:val="00CC5DE4"/>
    <w:rsid w:val="00CC66C6"/>
    <w:rsid w:val="00CC67A7"/>
    <w:rsid w:val="00CC6FAF"/>
    <w:rsid w:val="00CC7636"/>
    <w:rsid w:val="00CC7874"/>
    <w:rsid w:val="00CD01B2"/>
    <w:rsid w:val="00CD067C"/>
    <w:rsid w:val="00CD073F"/>
    <w:rsid w:val="00CD17E9"/>
    <w:rsid w:val="00CD1CCC"/>
    <w:rsid w:val="00CD215E"/>
    <w:rsid w:val="00CD324F"/>
    <w:rsid w:val="00CD3276"/>
    <w:rsid w:val="00CD3341"/>
    <w:rsid w:val="00CD3841"/>
    <w:rsid w:val="00CD3DDE"/>
    <w:rsid w:val="00CD3EF7"/>
    <w:rsid w:val="00CD4966"/>
    <w:rsid w:val="00CD4E55"/>
    <w:rsid w:val="00CD4ED8"/>
    <w:rsid w:val="00CD59C4"/>
    <w:rsid w:val="00CD618F"/>
    <w:rsid w:val="00CE056F"/>
    <w:rsid w:val="00CE0638"/>
    <w:rsid w:val="00CE13E8"/>
    <w:rsid w:val="00CE1500"/>
    <w:rsid w:val="00CE1CF0"/>
    <w:rsid w:val="00CE4AB4"/>
    <w:rsid w:val="00CE501B"/>
    <w:rsid w:val="00CE5B74"/>
    <w:rsid w:val="00CE742D"/>
    <w:rsid w:val="00CE7D86"/>
    <w:rsid w:val="00CF04C2"/>
    <w:rsid w:val="00CF0A7D"/>
    <w:rsid w:val="00CF0B41"/>
    <w:rsid w:val="00CF0C66"/>
    <w:rsid w:val="00CF0E36"/>
    <w:rsid w:val="00CF1659"/>
    <w:rsid w:val="00CF20FC"/>
    <w:rsid w:val="00CF2799"/>
    <w:rsid w:val="00CF27C7"/>
    <w:rsid w:val="00CF531E"/>
    <w:rsid w:val="00CF5FAC"/>
    <w:rsid w:val="00CF61AD"/>
    <w:rsid w:val="00CF61FF"/>
    <w:rsid w:val="00CF66A6"/>
    <w:rsid w:val="00D00B96"/>
    <w:rsid w:val="00D01E04"/>
    <w:rsid w:val="00D02ED0"/>
    <w:rsid w:val="00D0358B"/>
    <w:rsid w:val="00D07F73"/>
    <w:rsid w:val="00D11A51"/>
    <w:rsid w:val="00D12BB5"/>
    <w:rsid w:val="00D13420"/>
    <w:rsid w:val="00D13905"/>
    <w:rsid w:val="00D15196"/>
    <w:rsid w:val="00D153D9"/>
    <w:rsid w:val="00D15561"/>
    <w:rsid w:val="00D15CDB"/>
    <w:rsid w:val="00D15E53"/>
    <w:rsid w:val="00D15F50"/>
    <w:rsid w:val="00D162E8"/>
    <w:rsid w:val="00D16E04"/>
    <w:rsid w:val="00D17270"/>
    <w:rsid w:val="00D21C07"/>
    <w:rsid w:val="00D22BE0"/>
    <w:rsid w:val="00D22CFC"/>
    <w:rsid w:val="00D234E7"/>
    <w:rsid w:val="00D23858"/>
    <w:rsid w:val="00D241D6"/>
    <w:rsid w:val="00D27387"/>
    <w:rsid w:val="00D30BED"/>
    <w:rsid w:val="00D30E77"/>
    <w:rsid w:val="00D3145B"/>
    <w:rsid w:val="00D318AC"/>
    <w:rsid w:val="00D32237"/>
    <w:rsid w:val="00D32A5D"/>
    <w:rsid w:val="00D33165"/>
    <w:rsid w:val="00D33BDD"/>
    <w:rsid w:val="00D3581C"/>
    <w:rsid w:val="00D35A35"/>
    <w:rsid w:val="00D35BA6"/>
    <w:rsid w:val="00D35EBA"/>
    <w:rsid w:val="00D36A9C"/>
    <w:rsid w:val="00D37353"/>
    <w:rsid w:val="00D3748D"/>
    <w:rsid w:val="00D40901"/>
    <w:rsid w:val="00D41760"/>
    <w:rsid w:val="00D43374"/>
    <w:rsid w:val="00D440D9"/>
    <w:rsid w:val="00D4443F"/>
    <w:rsid w:val="00D4531B"/>
    <w:rsid w:val="00D46514"/>
    <w:rsid w:val="00D46666"/>
    <w:rsid w:val="00D46911"/>
    <w:rsid w:val="00D46C55"/>
    <w:rsid w:val="00D470E0"/>
    <w:rsid w:val="00D501E1"/>
    <w:rsid w:val="00D5052A"/>
    <w:rsid w:val="00D517D4"/>
    <w:rsid w:val="00D52511"/>
    <w:rsid w:val="00D532E5"/>
    <w:rsid w:val="00D533E3"/>
    <w:rsid w:val="00D5363F"/>
    <w:rsid w:val="00D54582"/>
    <w:rsid w:val="00D55963"/>
    <w:rsid w:val="00D55971"/>
    <w:rsid w:val="00D55F40"/>
    <w:rsid w:val="00D561BB"/>
    <w:rsid w:val="00D565CC"/>
    <w:rsid w:val="00D6078D"/>
    <w:rsid w:val="00D60E3C"/>
    <w:rsid w:val="00D613F8"/>
    <w:rsid w:val="00D6162B"/>
    <w:rsid w:val="00D61FDB"/>
    <w:rsid w:val="00D622A1"/>
    <w:rsid w:val="00D62F1C"/>
    <w:rsid w:val="00D62F1E"/>
    <w:rsid w:val="00D63CFA"/>
    <w:rsid w:val="00D65001"/>
    <w:rsid w:val="00D65552"/>
    <w:rsid w:val="00D656BB"/>
    <w:rsid w:val="00D66751"/>
    <w:rsid w:val="00D66FA9"/>
    <w:rsid w:val="00D67204"/>
    <w:rsid w:val="00D677CA"/>
    <w:rsid w:val="00D711E3"/>
    <w:rsid w:val="00D71327"/>
    <w:rsid w:val="00D71A04"/>
    <w:rsid w:val="00D71C71"/>
    <w:rsid w:val="00D731D6"/>
    <w:rsid w:val="00D748DF"/>
    <w:rsid w:val="00D74CA8"/>
    <w:rsid w:val="00D757AA"/>
    <w:rsid w:val="00D77F63"/>
    <w:rsid w:val="00D833B6"/>
    <w:rsid w:val="00D8348D"/>
    <w:rsid w:val="00D83490"/>
    <w:rsid w:val="00D838FD"/>
    <w:rsid w:val="00D848C7"/>
    <w:rsid w:val="00D84D9B"/>
    <w:rsid w:val="00D8552B"/>
    <w:rsid w:val="00D85E12"/>
    <w:rsid w:val="00D86A33"/>
    <w:rsid w:val="00D8715A"/>
    <w:rsid w:val="00D876C0"/>
    <w:rsid w:val="00D87EA1"/>
    <w:rsid w:val="00D903E7"/>
    <w:rsid w:val="00D90AA1"/>
    <w:rsid w:val="00D932E8"/>
    <w:rsid w:val="00D932EA"/>
    <w:rsid w:val="00D943A7"/>
    <w:rsid w:val="00D947F1"/>
    <w:rsid w:val="00D948D3"/>
    <w:rsid w:val="00D95365"/>
    <w:rsid w:val="00D95709"/>
    <w:rsid w:val="00D959B3"/>
    <w:rsid w:val="00D96B3E"/>
    <w:rsid w:val="00D975F8"/>
    <w:rsid w:val="00D9791B"/>
    <w:rsid w:val="00D97CB1"/>
    <w:rsid w:val="00DA0C72"/>
    <w:rsid w:val="00DA198E"/>
    <w:rsid w:val="00DA1C3D"/>
    <w:rsid w:val="00DA1D3D"/>
    <w:rsid w:val="00DA2261"/>
    <w:rsid w:val="00DA2F3B"/>
    <w:rsid w:val="00DA363D"/>
    <w:rsid w:val="00DA4195"/>
    <w:rsid w:val="00DA4C8B"/>
    <w:rsid w:val="00DA51A1"/>
    <w:rsid w:val="00DA631F"/>
    <w:rsid w:val="00DA6C1F"/>
    <w:rsid w:val="00DB09D9"/>
    <w:rsid w:val="00DB0C44"/>
    <w:rsid w:val="00DB0E67"/>
    <w:rsid w:val="00DB1BA0"/>
    <w:rsid w:val="00DB1CD0"/>
    <w:rsid w:val="00DB4E10"/>
    <w:rsid w:val="00DB4F80"/>
    <w:rsid w:val="00DB57AC"/>
    <w:rsid w:val="00DB5B7E"/>
    <w:rsid w:val="00DB6162"/>
    <w:rsid w:val="00DB6291"/>
    <w:rsid w:val="00DB67CD"/>
    <w:rsid w:val="00DB7046"/>
    <w:rsid w:val="00DB72C6"/>
    <w:rsid w:val="00DB7ACA"/>
    <w:rsid w:val="00DC0FFB"/>
    <w:rsid w:val="00DC223C"/>
    <w:rsid w:val="00DC2B68"/>
    <w:rsid w:val="00DC2C15"/>
    <w:rsid w:val="00DC3839"/>
    <w:rsid w:val="00DC38CE"/>
    <w:rsid w:val="00DC3FA1"/>
    <w:rsid w:val="00DC42F8"/>
    <w:rsid w:val="00DC5375"/>
    <w:rsid w:val="00DC5CD4"/>
    <w:rsid w:val="00DC6772"/>
    <w:rsid w:val="00DC6C70"/>
    <w:rsid w:val="00DC6C72"/>
    <w:rsid w:val="00DC7CA0"/>
    <w:rsid w:val="00DD07C3"/>
    <w:rsid w:val="00DD0D4A"/>
    <w:rsid w:val="00DD111E"/>
    <w:rsid w:val="00DD23F0"/>
    <w:rsid w:val="00DD2976"/>
    <w:rsid w:val="00DD3B0E"/>
    <w:rsid w:val="00DD41A3"/>
    <w:rsid w:val="00DD581A"/>
    <w:rsid w:val="00DD6796"/>
    <w:rsid w:val="00DE03AF"/>
    <w:rsid w:val="00DE4036"/>
    <w:rsid w:val="00DE4621"/>
    <w:rsid w:val="00DE5055"/>
    <w:rsid w:val="00DE7042"/>
    <w:rsid w:val="00DE7A45"/>
    <w:rsid w:val="00DE7EC7"/>
    <w:rsid w:val="00DF142B"/>
    <w:rsid w:val="00DF1650"/>
    <w:rsid w:val="00DF171E"/>
    <w:rsid w:val="00DF1DEE"/>
    <w:rsid w:val="00DF20F7"/>
    <w:rsid w:val="00DF2166"/>
    <w:rsid w:val="00DF3D41"/>
    <w:rsid w:val="00DF3DE0"/>
    <w:rsid w:val="00DF59D7"/>
    <w:rsid w:val="00DF68FC"/>
    <w:rsid w:val="00DF7D79"/>
    <w:rsid w:val="00E00692"/>
    <w:rsid w:val="00E01690"/>
    <w:rsid w:val="00E03020"/>
    <w:rsid w:val="00E039F3"/>
    <w:rsid w:val="00E040AD"/>
    <w:rsid w:val="00E05562"/>
    <w:rsid w:val="00E05676"/>
    <w:rsid w:val="00E05912"/>
    <w:rsid w:val="00E05A73"/>
    <w:rsid w:val="00E07BD0"/>
    <w:rsid w:val="00E07E46"/>
    <w:rsid w:val="00E10C60"/>
    <w:rsid w:val="00E1220A"/>
    <w:rsid w:val="00E13427"/>
    <w:rsid w:val="00E13EF6"/>
    <w:rsid w:val="00E15D8F"/>
    <w:rsid w:val="00E16147"/>
    <w:rsid w:val="00E16220"/>
    <w:rsid w:val="00E166D7"/>
    <w:rsid w:val="00E167E9"/>
    <w:rsid w:val="00E16C08"/>
    <w:rsid w:val="00E17116"/>
    <w:rsid w:val="00E17442"/>
    <w:rsid w:val="00E17744"/>
    <w:rsid w:val="00E17B23"/>
    <w:rsid w:val="00E17FF9"/>
    <w:rsid w:val="00E2152E"/>
    <w:rsid w:val="00E217CE"/>
    <w:rsid w:val="00E21ECB"/>
    <w:rsid w:val="00E22C72"/>
    <w:rsid w:val="00E22E40"/>
    <w:rsid w:val="00E23109"/>
    <w:rsid w:val="00E23277"/>
    <w:rsid w:val="00E23A90"/>
    <w:rsid w:val="00E23C61"/>
    <w:rsid w:val="00E24B3E"/>
    <w:rsid w:val="00E24E8F"/>
    <w:rsid w:val="00E273A1"/>
    <w:rsid w:val="00E27E18"/>
    <w:rsid w:val="00E30F06"/>
    <w:rsid w:val="00E313B2"/>
    <w:rsid w:val="00E32792"/>
    <w:rsid w:val="00E32C9C"/>
    <w:rsid w:val="00E336F0"/>
    <w:rsid w:val="00E34112"/>
    <w:rsid w:val="00E34294"/>
    <w:rsid w:val="00E35219"/>
    <w:rsid w:val="00E353FF"/>
    <w:rsid w:val="00E401E9"/>
    <w:rsid w:val="00E41672"/>
    <w:rsid w:val="00E41972"/>
    <w:rsid w:val="00E41A98"/>
    <w:rsid w:val="00E4314D"/>
    <w:rsid w:val="00E4320D"/>
    <w:rsid w:val="00E43215"/>
    <w:rsid w:val="00E448A0"/>
    <w:rsid w:val="00E44948"/>
    <w:rsid w:val="00E4672A"/>
    <w:rsid w:val="00E46E6A"/>
    <w:rsid w:val="00E46FBB"/>
    <w:rsid w:val="00E47653"/>
    <w:rsid w:val="00E47DF3"/>
    <w:rsid w:val="00E5052A"/>
    <w:rsid w:val="00E50767"/>
    <w:rsid w:val="00E50D76"/>
    <w:rsid w:val="00E5235D"/>
    <w:rsid w:val="00E54124"/>
    <w:rsid w:val="00E5537F"/>
    <w:rsid w:val="00E55A87"/>
    <w:rsid w:val="00E55CAB"/>
    <w:rsid w:val="00E566FC"/>
    <w:rsid w:val="00E56702"/>
    <w:rsid w:val="00E60178"/>
    <w:rsid w:val="00E60BB1"/>
    <w:rsid w:val="00E6108F"/>
    <w:rsid w:val="00E614E7"/>
    <w:rsid w:val="00E63660"/>
    <w:rsid w:val="00E64196"/>
    <w:rsid w:val="00E64A3E"/>
    <w:rsid w:val="00E64D14"/>
    <w:rsid w:val="00E65E74"/>
    <w:rsid w:val="00E666DC"/>
    <w:rsid w:val="00E66934"/>
    <w:rsid w:val="00E6734F"/>
    <w:rsid w:val="00E674AE"/>
    <w:rsid w:val="00E70AE8"/>
    <w:rsid w:val="00E70F7B"/>
    <w:rsid w:val="00E724FD"/>
    <w:rsid w:val="00E73558"/>
    <w:rsid w:val="00E73663"/>
    <w:rsid w:val="00E736C2"/>
    <w:rsid w:val="00E73702"/>
    <w:rsid w:val="00E74270"/>
    <w:rsid w:val="00E75E9B"/>
    <w:rsid w:val="00E767BD"/>
    <w:rsid w:val="00E77219"/>
    <w:rsid w:val="00E775E2"/>
    <w:rsid w:val="00E77FC4"/>
    <w:rsid w:val="00E80C98"/>
    <w:rsid w:val="00E81058"/>
    <w:rsid w:val="00E82BF4"/>
    <w:rsid w:val="00E82C1E"/>
    <w:rsid w:val="00E848D7"/>
    <w:rsid w:val="00E852A5"/>
    <w:rsid w:val="00E853D3"/>
    <w:rsid w:val="00E856A2"/>
    <w:rsid w:val="00E85E6A"/>
    <w:rsid w:val="00E86C64"/>
    <w:rsid w:val="00E876EA"/>
    <w:rsid w:val="00E9004F"/>
    <w:rsid w:val="00E9157C"/>
    <w:rsid w:val="00E9168F"/>
    <w:rsid w:val="00E944C7"/>
    <w:rsid w:val="00E95338"/>
    <w:rsid w:val="00E955FC"/>
    <w:rsid w:val="00E95887"/>
    <w:rsid w:val="00E96AFB"/>
    <w:rsid w:val="00E976B8"/>
    <w:rsid w:val="00EA064D"/>
    <w:rsid w:val="00EA11E5"/>
    <w:rsid w:val="00EA36AE"/>
    <w:rsid w:val="00EA4BD5"/>
    <w:rsid w:val="00EB0236"/>
    <w:rsid w:val="00EB06D9"/>
    <w:rsid w:val="00EB0E7D"/>
    <w:rsid w:val="00EB1779"/>
    <w:rsid w:val="00EB1E77"/>
    <w:rsid w:val="00EB2EC0"/>
    <w:rsid w:val="00EB324A"/>
    <w:rsid w:val="00EB3F82"/>
    <w:rsid w:val="00EB43E3"/>
    <w:rsid w:val="00EB4531"/>
    <w:rsid w:val="00EB48F3"/>
    <w:rsid w:val="00EB5C43"/>
    <w:rsid w:val="00EB66EC"/>
    <w:rsid w:val="00EB69B2"/>
    <w:rsid w:val="00EB6F75"/>
    <w:rsid w:val="00EB7E5B"/>
    <w:rsid w:val="00EC05FF"/>
    <w:rsid w:val="00EC07AE"/>
    <w:rsid w:val="00EC135C"/>
    <w:rsid w:val="00EC144A"/>
    <w:rsid w:val="00EC15A4"/>
    <w:rsid w:val="00EC1EF3"/>
    <w:rsid w:val="00EC42DC"/>
    <w:rsid w:val="00EC4B55"/>
    <w:rsid w:val="00EC5018"/>
    <w:rsid w:val="00EC664F"/>
    <w:rsid w:val="00EC6C15"/>
    <w:rsid w:val="00EC6E70"/>
    <w:rsid w:val="00EC70B4"/>
    <w:rsid w:val="00EC751A"/>
    <w:rsid w:val="00EC7D03"/>
    <w:rsid w:val="00EC7EEF"/>
    <w:rsid w:val="00EC7EF6"/>
    <w:rsid w:val="00EC7F87"/>
    <w:rsid w:val="00ED09F0"/>
    <w:rsid w:val="00ED1155"/>
    <w:rsid w:val="00ED1899"/>
    <w:rsid w:val="00ED22C3"/>
    <w:rsid w:val="00ED30CD"/>
    <w:rsid w:val="00ED3403"/>
    <w:rsid w:val="00ED4B08"/>
    <w:rsid w:val="00ED4C74"/>
    <w:rsid w:val="00ED5476"/>
    <w:rsid w:val="00ED5DDF"/>
    <w:rsid w:val="00EE1800"/>
    <w:rsid w:val="00EE24F4"/>
    <w:rsid w:val="00EE2526"/>
    <w:rsid w:val="00EE2944"/>
    <w:rsid w:val="00EE2D50"/>
    <w:rsid w:val="00EE2EF0"/>
    <w:rsid w:val="00EE4023"/>
    <w:rsid w:val="00EE5587"/>
    <w:rsid w:val="00EE60EC"/>
    <w:rsid w:val="00EE6C32"/>
    <w:rsid w:val="00EF0079"/>
    <w:rsid w:val="00EF04B5"/>
    <w:rsid w:val="00EF0568"/>
    <w:rsid w:val="00EF09A0"/>
    <w:rsid w:val="00EF09A5"/>
    <w:rsid w:val="00EF1437"/>
    <w:rsid w:val="00EF15A1"/>
    <w:rsid w:val="00EF1F98"/>
    <w:rsid w:val="00EF2441"/>
    <w:rsid w:val="00EF24FA"/>
    <w:rsid w:val="00EF288E"/>
    <w:rsid w:val="00EF2F19"/>
    <w:rsid w:val="00EF4B13"/>
    <w:rsid w:val="00EF4EB6"/>
    <w:rsid w:val="00EF580C"/>
    <w:rsid w:val="00EF5BDF"/>
    <w:rsid w:val="00EF6B20"/>
    <w:rsid w:val="00EF7A1F"/>
    <w:rsid w:val="00F00093"/>
    <w:rsid w:val="00F003F4"/>
    <w:rsid w:val="00F03249"/>
    <w:rsid w:val="00F03BB3"/>
    <w:rsid w:val="00F03CAB"/>
    <w:rsid w:val="00F03D35"/>
    <w:rsid w:val="00F04431"/>
    <w:rsid w:val="00F04AC2"/>
    <w:rsid w:val="00F05652"/>
    <w:rsid w:val="00F06117"/>
    <w:rsid w:val="00F064B0"/>
    <w:rsid w:val="00F0737F"/>
    <w:rsid w:val="00F07520"/>
    <w:rsid w:val="00F07F9F"/>
    <w:rsid w:val="00F10C67"/>
    <w:rsid w:val="00F12DE7"/>
    <w:rsid w:val="00F130F2"/>
    <w:rsid w:val="00F13199"/>
    <w:rsid w:val="00F1375C"/>
    <w:rsid w:val="00F138F1"/>
    <w:rsid w:val="00F13C9B"/>
    <w:rsid w:val="00F13DAD"/>
    <w:rsid w:val="00F13ECC"/>
    <w:rsid w:val="00F13F12"/>
    <w:rsid w:val="00F13F1F"/>
    <w:rsid w:val="00F14792"/>
    <w:rsid w:val="00F1511C"/>
    <w:rsid w:val="00F1596E"/>
    <w:rsid w:val="00F15A32"/>
    <w:rsid w:val="00F15E65"/>
    <w:rsid w:val="00F15E8C"/>
    <w:rsid w:val="00F15E92"/>
    <w:rsid w:val="00F164A3"/>
    <w:rsid w:val="00F176A6"/>
    <w:rsid w:val="00F20664"/>
    <w:rsid w:val="00F20694"/>
    <w:rsid w:val="00F20E9F"/>
    <w:rsid w:val="00F2124E"/>
    <w:rsid w:val="00F2151E"/>
    <w:rsid w:val="00F21E9A"/>
    <w:rsid w:val="00F22808"/>
    <w:rsid w:val="00F2348D"/>
    <w:rsid w:val="00F24ECC"/>
    <w:rsid w:val="00F25FDD"/>
    <w:rsid w:val="00F2755D"/>
    <w:rsid w:val="00F27B66"/>
    <w:rsid w:val="00F27D0C"/>
    <w:rsid w:val="00F30E0F"/>
    <w:rsid w:val="00F30F17"/>
    <w:rsid w:val="00F30FA2"/>
    <w:rsid w:val="00F31578"/>
    <w:rsid w:val="00F32022"/>
    <w:rsid w:val="00F32A5F"/>
    <w:rsid w:val="00F3310B"/>
    <w:rsid w:val="00F337FE"/>
    <w:rsid w:val="00F35005"/>
    <w:rsid w:val="00F35632"/>
    <w:rsid w:val="00F356D8"/>
    <w:rsid w:val="00F35BCE"/>
    <w:rsid w:val="00F35ED0"/>
    <w:rsid w:val="00F366C1"/>
    <w:rsid w:val="00F36CF1"/>
    <w:rsid w:val="00F37A6A"/>
    <w:rsid w:val="00F42827"/>
    <w:rsid w:val="00F438FF"/>
    <w:rsid w:val="00F44830"/>
    <w:rsid w:val="00F466B7"/>
    <w:rsid w:val="00F46B2A"/>
    <w:rsid w:val="00F51C79"/>
    <w:rsid w:val="00F51E47"/>
    <w:rsid w:val="00F52841"/>
    <w:rsid w:val="00F546A6"/>
    <w:rsid w:val="00F54A12"/>
    <w:rsid w:val="00F5557B"/>
    <w:rsid w:val="00F56139"/>
    <w:rsid w:val="00F56879"/>
    <w:rsid w:val="00F56E35"/>
    <w:rsid w:val="00F56E4C"/>
    <w:rsid w:val="00F56F4B"/>
    <w:rsid w:val="00F57553"/>
    <w:rsid w:val="00F578B6"/>
    <w:rsid w:val="00F57E31"/>
    <w:rsid w:val="00F602A4"/>
    <w:rsid w:val="00F62D18"/>
    <w:rsid w:val="00F63352"/>
    <w:rsid w:val="00F63C0A"/>
    <w:rsid w:val="00F643F0"/>
    <w:rsid w:val="00F6467C"/>
    <w:rsid w:val="00F64787"/>
    <w:rsid w:val="00F6481B"/>
    <w:rsid w:val="00F6577F"/>
    <w:rsid w:val="00F66A5B"/>
    <w:rsid w:val="00F66E67"/>
    <w:rsid w:val="00F67BD0"/>
    <w:rsid w:val="00F67BD4"/>
    <w:rsid w:val="00F7131C"/>
    <w:rsid w:val="00F713E5"/>
    <w:rsid w:val="00F71511"/>
    <w:rsid w:val="00F7171D"/>
    <w:rsid w:val="00F7177E"/>
    <w:rsid w:val="00F717A8"/>
    <w:rsid w:val="00F737C4"/>
    <w:rsid w:val="00F74240"/>
    <w:rsid w:val="00F753C5"/>
    <w:rsid w:val="00F75915"/>
    <w:rsid w:val="00F772AC"/>
    <w:rsid w:val="00F7747D"/>
    <w:rsid w:val="00F77FAA"/>
    <w:rsid w:val="00F80222"/>
    <w:rsid w:val="00F80C72"/>
    <w:rsid w:val="00F81142"/>
    <w:rsid w:val="00F81713"/>
    <w:rsid w:val="00F82FF7"/>
    <w:rsid w:val="00F83A30"/>
    <w:rsid w:val="00F84B41"/>
    <w:rsid w:val="00F85389"/>
    <w:rsid w:val="00F85CDE"/>
    <w:rsid w:val="00F85D2A"/>
    <w:rsid w:val="00F85F6B"/>
    <w:rsid w:val="00F862AC"/>
    <w:rsid w:val="00F8630B"/>
    <w:rsid w:val="00F86358"/>
    <w:rsid w:val="00F86DF1"/>
    <w:rsid w:val="00F86FEE"/>
    <w:rsid w:val="00F90131"/>
    <w:rsid w:val="00F91D70"/>
    <w:rsid w:val="00F945BB"/>
    <w:rsid w:val="00F95629"/>
    <w:rsid w:val="00F96241"/>
    <w:rsid w:val="00F96AAC"/>
    <w:rsid w:val="00FA106F"/>
    <w:rsid w:val="00FA1528"/>
    <w:rsid w:val="00FA1A79"/>
    <w:rsid w:val="00FA1AEC"/>
    <w:rsid w:val="00FA21EC"/>
    <w:rsid w:val="00FA30B8"/>
    <w:rsid w:val="00FA59D9"/>
    <w:rsid w:val="00FA6221"/>
    <w:rsid w:val="00FA6940"/>
    <w:rsid w:val="00FB05E6"/>
    <w:rsid w:val="00FB0741"/>
    <w:rsid w:val="00FB1B7A"/>
    <w:rsid w:val="00FB1D6E"/>
    <w:rsid w:val="00FB2179"/>
    <w:rsid w:val="00FB2D59"/>
    <w:rsid w:val="00FB3FE0"/>
    <w:rsid w:val="00FB565E"/>
    <w:rsid w:val="00FB59C9"/>
    <w:rsid w:val="00FB69A1"/>
    <w:rsid w:val="00FB7209"/>
    <w:rsid w:val="00FB7FF6"/>
    <w:rsid w:val="00FC224D"/>
    <w:rsid w:val="00FC34A2"/>
    <w:rsid w:val="00FC38E0"/>
    <w:rsid w:val="00FD04C6"/>
    <w:rsid w:val="00FD0680"/>
    <w:rsid w:val="00FD1459"/>
    <w:rsid w:val="00FD1515"/>
    <w:rsid w:val="00FD1591"/>
    <w:rsid w:val="00FD1ED1"/>
    <w:rsid w:val="00FD22A3"/>
    <w:rsid w:val="00FD32AD"/>
    <w:rsid w:val="00FD3638"/>
    <w:rsid w:val="00FD3656"/>
    <w:rsid w:val="00FD39B8"/>
    <w:rsid w:val="00FD3B8E"/>
    <w:rsid w:val="00FD43E2"/>
    <w:rsid w:val="00FD505E"/>
    <w:rsid w:val="00FD577F"/>
    <w:rsid w:val="00FD67AD"/>
    <w:rsid w:val="00FD7279"/>
    <w:rsid w:val="00FE1242"/>
    <w:rsid w:val="00FE1316"/>
    <w:rsid w:val="00FE194E"/>
    <w:rsid w:val="00FE1FC3"/>
    <w:rsid w:val="00FE2429"/>
    <w:rsid w:val="00FE285E"/>
    <w:rsid w:val="00FE2B1A"/>
    <w:rsid w:val="00FE2CE3"/>
    <w:rsid w:val="00FE2F0B"/>
    <w:rsid w:val="00FE3529"/>
    <w:rsid w:val="00FE5542"/>
    <w:rsid w:val="00FE5DD8"/>
    <w:rsid w:val="00FE6ABD"/>
    <w:rsid w:val="00FE6CB9"/>
    <w:rsid w:val="00FE71A3"/>
    <w:rsid w:val="00FF18A8"/>
    <w:rsid w:val="00FF2136"/>
    <w:rsid w:val="00FF2367"/>
    <w:rsid w:val="00FF2759"/>
    <w:rsid w:val="00FF3BAE"/>
    <w:rsid w:val="00FF3F46"/>
    <w:rsid w:val="00FF51C8"/>
    <w:rsid w:val="00FF5702"/>
    <w:rsid w:val="00FF62D1"/>
    <w:rsid w:val="00FF6801"/>
    <w:rsid w:val="00FF77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80DD9"/>
  <w15:docId w15:val="{044043CC-42A8-4272-8401-72BE94C3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65ABC"/>
    <w:rPr>
      <w:lang w:val="en-AU"/>
    </w:rPr>
  </w:style>
  <w:style w:type="paragraph" w:styleId="1">
    <w:name w:val="heading 1"/>
    <w:basedOn w:val="a0"/>
    <w:next w:val="a0"/>
    <w:qFormat/>
    <w:rsid w:val="00EB66EC"/>
    <w:pPr>
      <w:keepNext/>
      <w:spacing w:before="240" w:after="60"/>
      <w:outlineLvl w:val="0"/>
    </w:pPr>
    <w:rPr>
      <w:rFonts w:ascii="Arial" w:hAnsi="Arial" w:cs="Arial"/>
      <w:b/>
      <w:bCs/>
      <w:kern w:val="32"/>
      <w:sz w:val="32"/>
      <w:szCs w:val="32"/>
    </w:rPr>
  </w:style>
  <w:style w:type="paragraph" w:styleId="2">
    <w:name w:val="heading 2"/>
    <w:aliases w:val=" Знак"/>
    <w:basedOn w:val="a0"/>
    <w:next w:val="a0"/>
    <w:link w:val="20"/>
    <w:qFormat/>
    <w:rsid w:val="00432F84"/>
    <w:pPr>
      <w:keepNext/>
      <w:spacing w:before="240" w:after="60"/>
      <w:outlineLvl w:val="1"/>
    </w:pPr>
    <w:rPr>
      <w:rFonts w:ascii="Arial" w:hAnsi="Arial" w:cs="Arial"/>
      <w:b/>
      <w:bCs/>
      <w:i/>
      <w:iCs/>
      <w:sz w:val="28"/>
      <w:szCs w:val="28"/>
    </w:rPr>
  </w:style>
  <w:style w:type="paragraph" w:styleId="3">
    <w:name w:val="heading 3"/>
    <w:basedOn w:val="a0"/>
    <w:next w:val="a0"/>
    <w:qFormat/>
    <w:rsid w:val="00E60178"/>
    <w:pPr>
      <w:keepNext/>
      <w:ind w:left="420"/>
      <w:outlineLvl w:val="2"/>
    </w:pPr>
    <w:rPr>
      <w:i/>
      <w:iCs/>
      <w:sz w:val="24"/>
      <w:szCs w:val="24"/>
      <w:u w:val="single"/>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365ABC"/>
    <w:pPr>
      <w:jc w:val="center"/>
    </w:pPr>
    <w:rPr>
      <w:b/>
      <w:u w:val="single"/>
      <w:lang w:val="en-US"/>
    </w:rPr>
  </w:style>
  <w:style w:type="paragraph" w:styleId="a5">
    <w:name w:val="Body Text"/>
    <w:basedOn w:val="a0"/>
    <w:rsid w:val="00365ABC"/>
    <w:pPr>
      <w:jc w:val="both"/>
    </w:pPr>
    <w:rPr>
      <w:lang w:val="en-US"/>
    </w:rPr>
  </w:style>
  <w:style w:type="paragraph" w:styleId="HTML">
    <w:name w:val="HTML Preformatted"/>
    <w:basedOn w:val="a0"/>
    <w:rsid w:val="00EC6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ru-RU" w:eastAsia="ru-RU"/>
    </w:rPr>
  </w:style>
  <w:style w:type="table" w:styleId="a6">
    <w:name w:val="Table Grid"/>
    <w:basedOn w:val="a2"/>
    <w:uiPriority w:val="59"/>
    <w:rsid w:val="00E60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rsid w:val="006C6317"/>
    <w:pPr>
      <w:tabs>
        <w:tab w:val="center" w:pos="4320"/>
        <w:tab w:val="right" w:pos="8640"/>
      </w:tabs>
    </w:pPr>
    <w:rPr>
      <w:lang w:val="en-US"/>
    </w:rPr>
  </w:style>
  <w:style w:type="paragraph" w:styleId="a9">
    <w:name w:val="Normal (Web)"/>
    <w:basedOn w:val="a0"/>
    <w:uiPriority w:val="99"/>
    <w:rsid w:val="00C836A8"/>
    <w:pPr>
      <w:spacing w:before="100" w:beforeAutospacing="1" w:after="100" w:afterAutospacing="1"/>
    </w:pPr>
    <w:rPr>
      <w:sz w:val="24"/>
      <w:szCs w:val="24"/>
      <w:lang w:val="ru-RU" w:eastAsia="ru-RU"/>
    </w:rPr>
  </w:style>
  <w:style w:type="paragraph" w:styleId="aa">
    <w:name w:val="caption"/>
    <w:basedOn w:val="a0"/>
    <w:qFormat/>
    <w:rsid w:val="00C836A8"/>
    <w:pPr>
      <w:spacing w:before="100" w:beforeAutospacing="1" w:after="100" w:afterAutospacing="1"/>
    </w:pPr>
    <w:rPr>
      <w:rFonts w:ascii="Verdana" w:hAnsi="Verdana"/>
      <w:color w:val="000000"/>
      <w:sz w:val="14"/>
      <w:szCs w:val="14"/>
      <w:lang w:val="ru-RU" w:eastAsia="ru-RU"/>
    </w:rPr>
  </w:style>
  <w:style w:type="paragraph" w:styleId="21">
    <w:name w:val="Body Text 2"/>
    <w:basedOn w:val="a0"/>
    <w:rsid w:val="006C389E"/>
    <w:pPr>
      <w:spacing w:after="120" w:line="480" w:lineRule="auto"/>
    </w:pPr>
  </w:style>
  <w:style w:type="character" w:styleId="ab">
    <w:name w:val="Hyperlink"/>
    <w:basedOn w:val="a1"/>
    <w:uiPriority w:val="99"/>
    <w:rsid w:val="002E56D1"/>
    <w:rPr>
      <w:rFonts w:ascii="Arial" w:hAnsi="Arial" w:cs="Arial" w:hint="default"/>
      <w:strike w:val="0"/>
      <w:dstrike w:val="0"/>
      <w:color w:val="000000"/>
      <w:sz w:val="18"/>
      <w:szCs w:val="18"/>
      <w:u w:val="none"/>
      <w:effect w:val="none"/>
    </w:rPr>
  </w:style>
  <w:style w:type="paragraph" w:styleId="10">
    <w:name w:val="toc 1"/>
    <w:basedOn w:val="a0"/>
    <w:next w:val="a0"/>
    <w:autoRedefine/>
    <w:uiPriority w:val="39"/>
    <w:rsid w:val="009E3BE8"/>
    <w:pPr>
      <w:spacing w:before="360"/>
    </w:pPr>
    <w:rPr>
      <w:rFonts w:ascii="Arial" w:hAnsi="Arial" w:cs="Arial"/>
      <w:b/>
      <w:bCs/>
      <w:caps/>
      <w:sz w:val="24"/>
      <w:szCs w:val="24"/>
    </w:rPr>
  </w:style>
  <w:style w:type="paragraph" w:styleId="22">
    <w:name w:val="toc 2"/>
    <w:basedOn w:val="a0"/>
    <w:next w:val="a0"/>
    <w:autoRedefine/>
    <w:uiPriority w:val="39"/>
    <w:rsid w:val="00B836F4"/>
    <w:pPr>
      <w:tabs>
        <w:tab w:val="right" w:leader="dot" w:pos="9781"/>
      </w:tabs>
      <w:spacing w:before="120"/>
    </w:pPr>
    <w:rPr>
      <w:b/>
      <w:bCs/>
    </w:rPr>
  </w:style>
  <w:style w:type="paragraph" w:styleId="ac">
    <w:name w:val="footer"/>
    <w:basedOn w:val="a0"/>
    <w:rsid w:val="002E56D1"/>
    <w:pPr>
      <w:tabs>
        <w:tab w:val="center" w:pos="4677"/>
        <w:tab w:val="right" w:pos="9355"/>
      </w:tabs>
    </w:pPr>
  </w:style>
  <w:style w:type="paragraph" w:styleId="ad">
    <w:name w:val="Balloon Text"/>
    <w:basedOn w:val="a0"/>
    <w:semiHidden/>
    <w:rsid w:val="00C83228"/>
    <w:rPr>
      <w:rFonts w:ascii="Tahoma" w:hAnsi="Tahoma" w:cs="Tahoma"/>
      <w:sz w:val="16"/>
      <w:szCs w:val="16"/>
    </w:rPr>
  </w:style>
  <w:style w:type="paragraph" w:styleId="30">
    <w:name w:val="toc 3"/>
    <w:basedOn w:val="a0"/>
    <w:next w:val="a0"/>
    <w:autoRedefine/>
    <w:uiPriority w:val="39"/>
    <w:rsid w:val="00B836F4"/>
    <w:pPr>
      <w:tabs>
        <w:tab w:val="left" w:pos="1000"/>
        <w:tab w:val="right" w:leader="dot" w:pos="9781"/>
      </w:tabs>
    </w:pPr>
    <w:rPr>
      <w:b/>
      <w:noProof/>
      <w:lang w:val="en-US"/>
    </w:rPr>
  </w:style>
  <w:style w:type="character" w:customStyle="1" w:styleId="20">
    <w:name w:val="Заголовок 2 Знак"/>
    <w:aliases w:val=" Знак Знак"/>
    <w:basedOn w:val="a1"/>
    <w:link w:val="2"/>
    <w:rsid w:val="001F186B"/>
    <w:rPr>
      <w:rFonts w:ascii="Arial" w:hAnsi="Arial" w:cs="Arial"/>
      <w:b/>
      <w:bCs/>
      <w:i/>
      <w:iCs/>
      <w:sz w:val="28"/>
      <w:szCs w:val="28"/>
      <w:lang w:val="en-AU" w:eastAsia="en-US" w:bidi="ar-SA"/>
    </w:rPr>
  </w:style>
  <w:style w:type="character" w:styleId="ae">
    <w:name w:val="FollowedHyperlink"/>
    <w:basedOn w:val="a1"/>
    <w:rsid w:val="00B257B4"/>
    <w:rPr>
      <w:color w:val="800080"/>
      <w:u w:val="single"/>
    </w:rPr>
  </w:style>
  <w:style w:type="paragraph" w:styleId="4">
    <w:name w:val="toc 4"/>
    <w:basedOn w:val="a0"/>
    <w:next w:val="a0"/>
    <w:autoRedefine/>
    <w:semiHidden/>
    <w:rsid w:val="00B257B4"/>
    <w:pPr>
      <w:ind w:left="400"/>
    </w:pPr>
  </w:style>
  <w:style w:type="paragraph" w:styleId="5">
    <w:name w:val="toc 5"/>
    <w:basedOn w:val="a0"/>
    <w:next w:val="a0"/>
    <w:autoRedefine/>
    <w:semiHidden/>
    <w:rsid w:val="00B257B4"/>
    <w:pPr>
      <w:ind w:left="600"/>
    </w:pPr>
  </w:style>
  <w:style w:type="paragraph" w:styleId="6">
    <w:name w:val="toc 6"/>
    <w:basedOn w:val="a0"/>
    <w:next w:val="a0"/>
    <w:autoRedefine/>
    <w:semiHidden/>
    <w:rsid w:val="00B257B4"/>
    <w:pPr>
      <w:ind w:left="800"/>
    </w:pPr>
  </w:style>
  <w:style w:type="paragraph" w:styleId="7">
    <w:name w:val="toc 7"/>
    <w:basedOn w:val="a0"/>
    <w:next w:val="a0"/>
    <w:autoRedefine/>
    <w:semiHidden/>
    <w:rsid w:val="00B257B4"/>
    <w:pPr>
      <w:ind w:left="1000"/>
    </w:pPr>
  </w:style>
  <w:style w:type="paragraph" w:styleId="8">
    <w:name w:val="toc 8"/>
    <w:basedOn w:val="a0"/>
    <w:next w:val="a0"/>
    <w:autoRedefine/>
    <w:semiHidden/>
    <w:rsid w:val="00B257B4"/>
    <w:pPr>
      <w:ind w:left="1200"/>
    </w:pPr>
  </w:style>
  <w:style w:type="paragraph" w:styleId="9">
    <w:name w:val="toc 9"/>
    <w:basedOn w:val="a0"/>
    <w:next w:val="a0"/>
    <w:autoRedefine/>
    <w:semiHidden/>
    <w:rsid w:val="00B257B4"/>
    <w:pPr>
      <w:ind w:left="1400"/>
    </w:pPr>
  </w:style>
  <w:style w:type="paragraph" w:customStyle="1" w:styleId="xl53">
    <w:name w:val="xl53"/>
    <w:basedOn w:val="a0"/>
    <w:rsid w:val="005D72C9"/>
    <w:pPr>
      <w:spacing w:before="100" w:beforeAutospacing="1" w:after="100" w:afterAutospacing="1"/>
      <w:jc w:val="center"/>
    </w:pPr>
    <w:rPr>
      <w:rFonts w:ascii="Arial" w:eastAsia="Arial Unicode MS" w:hAnsi="Arial" w:cs="Arial"/>
      <w:b/>
      <w:bCs/>
      <w:sz w:val="28"/>
      <w:szCs w:val="28"/>
      <w:lang w:val="en-US"/>
    </w:rPr>
  </w:style>
  <w:style w:type="paragraph" w:customStyle="1" w:styleId="af">
    <w:name w:val="Знак Знак"/>
    <w:basedOn w:val="a0"/>
    <w:rsid w:val="00A44042"/>
    <w:pPr>
      <w:spacing w:after="160" w:line="240" w:lineRule="exact"/>
    </w:pPr>
    <w:rPr>
      <w:rFonts w:cs="Arial"/>
      <w:lang w:val="de-CH" w:eastAsia="de-CH"/>
    </w:rPr>
  </w:style>
  <w:style w:type="paragraph" w:customStyle="1" w:styleId="11">
    <w:name w:val="Абзац списка1"/>
    <w:basedOn w:val="a0"/>
    <w:qFormat/>
    <w:rsid w:val="00853FF6"/>
    <w:pPr>
      <w:spacing w:after="200" w:line="276" w:lineRule="auto"/>
      <w:ind w:left="720"/>
      <w:contextualSpacing/>
    </w:pPr>
    <w:rPr>
      <w:rFonts w:ascii="Calibri" w:eastAsia="Calibri" w:hAnsi="Calibri"/>
      <w:sz w:val="22"/>
      <w:szCs w:val="22"/>
      <w:lang w:val="en-US"/>
    </w:rPr>
  </w:style>
  <w:style w:type="character" w:styleId="af0">
    <w:name w:val="annotation reference"/>
    <w:basedOn w:val="a1"/>
    <w:uiPriority w:val="99"/>
    <w:semiHidden/>
    <w:unhideWhenUsed/>
    <w:rsid w:val="00927ABA"/>
    <w:rPr>
      <w:sz w:val="16"/>
      <w:szCs w:val="16"/>
    </w:rPr>
  </w:style>
  <w:style w:type="paragraph" w:styleId="af1">
    <w:name w:val="annotation text"/>
    <w:aliases w:val=" Знак1"/>
    <w:basedOn w:val="a0"/>
    <w:link w:val="af2"/>
    <w:uiPriority w:val="99"/>
    <w:unhideWhenUsed/>
    <w:rsid w:val="00927ABA"/>
    <w:pPr>
      <w:widowControl w:val="0"/>
      <w:suppressAutoHyphens/>
    </w:pPr>
    <w:rPr>
      <w:rFonts w:eastAsia="Lucida Sans Unicode"/>
      <w:lang w:eastAsia="ar-SA"/>
    </w:rPr>
  </w:style>
  <w:style w:type="character" w:customStyle="1" w:styleId="af2">
    <w:name w:val="Текст примечания Знак"/>
    <w:aliases w:val=" Знак1 Знак"/>
    <w:basedOn w:val="a1"/>
    <w:link w:val="af1"/>
    <w:uiPriority w:val="99"/>
    <w:rsid w:val="00927ABA"/>
    <w:rPr>
      <w:rFonts w:eastAsia="Lucida Sans Unicode"/>
      <w:lang w:val="en-AU" w:eastAsia="ar-SA" w:bidi="ar-SA"/>
    </w:rPr>
  </w:style>
  <w:style w:type="character" w:customStyle="1" w:styleId="WW8Num3z1">
    <w:name w:val="WW8Num3z1"/>
    <w:rsid w:val="008F0614"/>
    <w:rPr>
      <w:rFonts w:ascii="Courier New" w:hAnsi="Courier New" w:cs="Courier New"/>
    </w:rPr>
  </w:style>
  <w:style w:type="paragraph" w:customStyle="1" w:styleId="CharChar">
    <w:name w:val="Char Char"/>
    <w:basedOn w:val="a0"/>
    <w:rsid w:val="002329B7"/>
    <w:pPr>
      <w:spacing w:after="160" w:line="240" w:lineRule="exact"/>
    </w:pPr>
    <w:rPr>
      <w:rFonts w:cs="Arial"/>
      <w:lang w:val="de-CH" w:eastAsia="de-CH"/>
    </w:rPr>
  </w:style>
  <w:style w:type="paragraph" w:customStyle="1" w:styleId="Wf1">
    <w:name w:val="ТекWf1т"/>
    <w:basedOn w:val="a0"/>
    <w:rsid w:val="002329B7"/>
    <w:pPr>
      <w:widowControl w:val="0"/>
    </w:pPr>
    <w:rPr>
      <w:rFonts w:ascii="Courier New" w:hAnsi="Courier New"/>
      <w:snapToGrid w:val="0"/>
      <w:lang w:val="ru-RU" w:eastAsia="ru-RU"/>
    </w:rPr>
  </w:style>
  <w:style w:type="paragraph" w:styleId="af3">
    <w:name w:val="Body Text Indent"/>
    <w:basedOn w:val="a0"/>
    <w:rsid w:val="00012FF1"/>
    <w:pPr>
      <w:spacing w:after="120"/>
      <w:ind w:left="283"/>
    </w:pPr>
  </w:style>
  <w:style w:type="paragraph" w:customStyle="1" w:styleId="copy">
    <w:name w:val="copy"/>
    <w:basedOn w:val="a0"/>
    <w:rsid w:val="00DB4E10"/>
    <w:pPr>
      <w:spacing w:before="100" w:beforeAutospacing="1" w:after="100" w:afterAutospacing="1"/>
    </w:pPr>
    <w:rPr>
      <w:rFonts w:ascii="Verdana" w:hAnsi="Verdana"/>
      <w:color w:val="A5A297"/>
      <w:sz w:val="16"/>
      <w:szCs w:val="16"/>
      <w:lang w:val="en-US"/>
    </w:rPr>
  </w:style>
  <w:style w:type="paragraph" w:styleId="a">
    <w:name w:val="List Bullet"/>
    <w:basedOn w:val="a0"/>
    <w:rsid w:val="00D711E3"/>
    <w:pPr>
      <w:numPr>
        <w:numId w:val="1"/>
      </w:numPr>
      <w:tabs>
        <w:tab w:val="left" w:pos="284"/>
      </w:tabs>
      <w:spacing w:line="288" w:lineRule="auto"/>
      <w:jc w:val="both"/>
    </w:pPr>
    <w:rPr>
      <w:rFonts w:ascii="Arial" w:hAnsi="Arial"/>
      <w:sz w:val="22"/>
      <w:szCs w:val="22"/>
      <w:lang w:val="fr-CA" w:eastAsia="fr-FR"/>
    </w:rPr>
  </w:style>
  <w:style w:type="character" w:styleId="af4">
    <w:name w:val="Emphasis"/>
    <w:basedOn w:val="a1"/>
    <w:uiPriority w:val="20"/>
    <w:qFormat/>
    <w:rsid w:val="00D711E3"/>
    <w:rPr>
      <w:b/>
      <w:bCs/>
      <w:i w:val="0"/>
      <w:iCs w:val="0"/>
    </w:rPr>
  </w:style>
  <w:style w:type="paragraph" w:customStyle="1" w:styleId="Default">
    <w:name w:val="Default"/>
    <w:rsid w:val="003B6EF9"/>
    <w:pPr>
      <w:widowControl w:val="0"/>
      <w:autoSpaceDE w:val="0"/>
      <w:autoSpaceDN w:val="0"/>
      <w:adjustRightInd w:val="0"/>
    </w:pPr>
    <w:rPr>
      <w:rFonts w:ascii="Helvetica" w:hAnsi="Helvetica" w:cs="Helvetica"/>
      <w:color w:val="000000"/>
      <w:sz w:val="24"/>
      <w:szCs w:val="24"/>
    </w:rPr>
  </w:style>
  <w:style w:type="paragraph" w:customStyle="1" w:styleId="CM48">
    <w:name w:val="CM48"/>
    <w:basedOn w:val="Default"/>
    <w:next w:val="Default"/>
    <w:rsid w:val="003B6EF9"/>
    <w:pPr>
      <w:spacing w:after="290"/>
    </w:pPr>
    <w:rPr>
      <w:rFonts w:cs="Times New Roman"/>
      <w:color w:val="auto"/>
    </w:rPr>
  </w:style>
  <w:style w:type="paragraph" w:customStyle="1" w:styleId="CM8">
    <w:name w:val="CM8"/>
    <w:basedOn w:val="Default"/>
    <w:next w:val="Default"/>
    <w:rsid w:val="003B6EF9"/>
    <w:pPr>
      <w:spacing w:line="303" w:lineRule="atLeast"/>
    </w:pPr>
    <w:rPr>
      <w:rFonts w:cs="Times New Roman"/>
      <w:color w:val="auto"/>
    </w:rPr>
  </w:style>
  <w:style w:type="paragraph" w:customStyle="1" w:styleId="CM49">
    <w:name w:val="CM49"/>
    <w:basedOn w:val="Default"/>
    <w:next w:val="Default"/>
    <w:rsid w:val="003B6EF9"/>
    <w:pPr>
      <w:spacing w:after="208"/>
    </w:pPr>
    <w:rPr>
      <w:rFonts w:cs="Times New Roman"/>
      <w:color w:val="auto"/>
    </w:rPr>
  </w:style>
  <w:style w:type="paragraph" w:customStyle="1" w:styleId="texte">
    <w:name w:val="texte"/>
    <w:link w:val="texteChar"/>
    <w:rsid w:val="004311AE"/>
    <w:pPr>
      <w:spacing w:before="180" w:after="180" w:line="288" w:lineRule="auto"/>
      <w:jc w:val="both"/>
    </w:pPr>
    <w:rPr>
      <w:rFonts w:ascii="Arial" w:hAnsi="Arial"/>
      <w:sz w:val="22"/>
      <w:szCs w:val="22"/>
      <w:lang w:val="fr-CA" w:eastAsia="fr-FR"/>
    </w:rPr>
  </w:style>
  <w:style w:type="character" w:customStyle="1" w:styleId="texteChar">
    <w:name w:val="texte Char"/>
    <w:basedOn w:val="a1"/>
    <w:link w:val="texte"/>
    <w:rsid w:val="004311AE"/>
    <w:rPr>
      <w:rFonts w:ascii="Arial" w:hAnsi="Arial"/>
      <w:sz w:val="22"/>
      <w:szCs w:val="22"/>
      <w:lang w:val="fr-CA" w:eastAsia="fr-FR" w:bidi="ar-SA"/>
    </w:rPr>
  </w:style>
  <w:style w:type="paragraph" w:customStyle="1" w:styleId="CM17">
    <w:name w:val="CM17"/>
    <w:basedOn w:val="Default"/>
    <w:next w:val="Default"/>
    <w:rsid w:val="00716A42"/>
    <w:pPr>
      <w:spacing w:after="183"/>
    </w:pPr>
    <w:rPr>
      <w:rFonts w:ascii="Arial" w:hAnsi="Arial" w:cs="Times New Roman"/>
      <w:color w:val="auto"/>
    </w:rPr>
  </w:style>
  <w:style w:type="character" w:customStyle="1" w:styleId="pubr11">
    <w:name w:val="pubr11"/>
    <w:basedOn w:val="a1"/>
    <w:rsid w:val="001154D2"/>
    <w:rPr>
      <w:rFonts w:ascii="Verdana" w:hAnsi="Verdana" w:hint="default"/>
      <w:b/>
      <w:bCs/>
      <w:color w:val="000000"/>
      <w:sz w:val="11"/>
      <w:szCs w:val="11"/>
    </w:rPr>
  </w:style>
  <w:style w:type="paragraph" w:customStyle="1" w:styleId="CM4">
    <w:name w:val="CM4"/>
    <w:basedOn w:val="Default"/>
    <w:next w:val="Default"/>
    <w:rsid w:val="00F85389"/>
    <w:pPr>
      <w:spacing w:line="248" w:lineRule="atLeast"/>
    </w:pPr>
    <w:rPr>
      <w:rFonts w:ascii="Times New Roman" w:hAnsi="Times New Roman" w:cs="Times New Roman"/>
      <w:color w:val="auto"/>
    </w:rPr>
  </w:style>
  <w:style w:type="paragraph" w:customStyle="1" w:styleId="CM42">
    <w:name w:val="CM42"/>
    <w:basedOn w:val="Default"/>
    <w:next w:val="Default"/>
    <w:rsid w:val="00C336ED"/>
    <w:pPr>
      <w:spacing w:after="848"/>
    </w:pPr>
    <w:rPr>
      <w:rFonts w:cs="Times New Roman"/>
      <w:color w:val="auto"/>
    </w:rPr>
  </w:style>
  <w:style w:type="paragraph" w:customStyle="1" w:styleId="CharChar0">
    <w:name w:val="Знак Знак Знак Char Char"/>
    <w:basedOn w:val="a0"/>
    <w:rsid w:val="008A5A25"/>
    <w:pPr>
      <w:spacing w:after="140"/>
    </w:pPr>
    <w:rPr>
      <w:rFonts w:ascii="Arial" w:hAnsi="Arial" w:cs="Arial"/>
      <w:sz w:val="22"/>
      <w:szCs w:val="24"/>
      <w:lang w:val="en-US"/>
    </w:rPr>
  </w:style>
  <w:style w:type="paragraph" w:customStyle="1" w:styleId="12">
    <w:name w:val="Без интервала1"/>
    <w:qFormat/>
    <w:rsid w:val="008A5A25"/>
    <w:rPr>
      <w:rFonts w:ascii="Calibri" w:eastAsia="Calibri" w:hAnsi="Calibri"/>
      <w:sz w:val="22"/>
      <w:szCs w:val="22"/>
      <w:lang w:val="uk-UA"/>
    </w:rPr>
  </w:style>
  <w:style w:type="character" w:styleId="af5">
    <w:name w:val="page number"/>
    <w:basedOn w:val="a1"/>
    <w:rsid w:val="0059548B"/>
  </w:style>
  <w:style w:type="paragraph" w:styleId="af6">
    <w:name w:val="List Paragraph"/>
    <w:aliases w:val="List Paragraph1,Left Bullet L1,Bullets,List Paragraph (numbered (a)),Akapit z listą BS,WB Para"/>
    <w:basedOn w:val="a0"/>
    <w:link w:val="af7"/>
    <w:uiPriority w:val="34"/>
    <w:qFormat/>
    <w:rsid w:val="00BD2A12"/>
    <w:pPr>
      <w:spacing w:after="200" w:line="276" w:lineRule="auto"/>
      <w:ind w:left="720"/>
      <w:contextualSpacing/>
    </w:pPr>
    <w:rPr>
      <w:rFonts w:ascii="Calibri" w:eastAsia="Calibri" w:hAnsi="Calibri"/>
      <w:sz w:val="22"/>
      <w:szCs w:val="22"/>
      <w:lang w:val="en-US"/>
    </w:rPr>
  </w:style>
  <w:style w:type="character" w:styleId="af8">
    <w:name w:val="Placeholder Text"/>
    <w:basedOn w:val="a1"/>
    <w:uiPriority w:val="99"/>
    <w:semiHidden/>
    <w:rsid w:val="00BD2A12"/>
    <w:rPr>
      <w:rFonts w:cs="Times New Roman"/>
      <w:color w:val="808080"/>
    </w:rPr>
  </w:style>
  <w:style w:type="paragraph" w:styleId="af9">
    <w:name w:val="No Spacing"/>
    <w:uiPriority w:val="1"/>
    <w:qFormat/>
    <w:rsid w:val="00BD2A12"/>
    <w:rPr>
      <w:rFonts w:ascii="Calibri" w:eastAsia="Calibri" w:hAnsi="Calibri"/>
      <w:sz w:val="22"/>
      <w:szCs w:val="22"/>
    </w:rPr>
  </w:style>
  <w:style w:type="paragraph" w:styleId="afa">
    <w:name w:val="footnote text"/>
    <w:aliases w:val="Geneva 9,Font: Geneva 9,Boston 10,f,single space,Footnote Text Char Char Char Char,Footnote Text Char Char,Footnote Text Char2,Footnote Text Char1 Char1,Footnote Text Char Char Char,Footnote Text Char2 Char Char Char,Footnot,footnote text"/>
    <w:basedOn w:val="a0"/>
    <w:link w:val="afb"/>
    <w:unhideWhenUsed/>
    <w:rsid w:val="006C39E3"/>
    <w:rPr>
      <w:rFonts w:ascii="Cambria" w:eastAsia="Calibri" w:hAnsi="Cambria"/>
      <w:lang w:val="en-GB"/>
    </w:rPr>
  </w:style>
  <w:style w:type="character" w:customStyle="1" w:styleId="afb">
    <w:name w:val="Текст сноски Знак"/>
    <w:aliases w:val="Geneva 9 Знак,Font: Geneva 9 Знак,Boston 10 Знак,f Знак,single space Знак,Footnote Text Char Char Char Char Знак,Footnote Text Char Char Знак,Footnote Text Char2 Знак,Footnote Text Char1 Char1 Знак,Footnote Text Char Char Char Знак"/>
    <w:basedOn w:val="a1"/>
    <w:link w:val="afa"/>
    <w:rsid w:val="006C39E3"/>
    <w:rPr>
      <w:rFonts w:ascii="Cambria" w:eastAsia="Calibri" w:hAnsi="Cambria" w:cs="Times New Roman"/>
      <w:lang w:val="en-GB"/>
    </w:rPr>
  </w:style>
  <w:style w:type="character" w:customStyle="1" w:styleId="apple-converted-space">
    <w:name w:val="apple-converted-space"/>
    <w:basedOn w:val="a1"/>
    <w:rsid w:val="009E2200"/>
  </w:style>
  <w:style w:type="character" w:styleId="afc">
    <w:name w:val="Strong"/>
    <w:basedOn w:val="a1"/>
    <w:uiPriority w:val="22"/>
    <w:qFormat/>
    <w:rsid w:val="009E2200"/>
    <w:rPr>
      <w:b/>
      <w:bCs/>
    </w:rPr>
  </w:style>
  <w:style w:type="paragraph" w:customStyle="1" w:styleId="CM2">
    <w:name w:val="CM2"/>
    <w:basedOn w:val="Default"/>
    <w:next w:val="Default"/>
    <w:uiPriority w:val="99"/>
    <w:rsid w:val="00CC0F8B"/>
    <w:pPr>
      <w:spacing w:line="246" w:lineRule="atLeast"/>
    </w:pPr>
    <w:rPr>
      <w:rFonts w:ascii="Times New Roman" w:hAnsi="Times New Roman" w:cs="Times New Roman"/>
      <w:color w:val="auto"/>
    </w:rPr>
  </w:style>
  <w:style w:type="paragraph" w:styleId="afd">
    <w:name w:val="Plain Text"/>
    <w:basedOn w:val="a0"/>
    <w:link w:val="afe"/>
    <w:uiPriority w:val="99"/>
    <w:semiHidden/>
    <w:unhideWhenUsed/>
    <w:rsid w:val="00B87C6F"/>
    <w:rPr>
      <w:rFonts w:ascii="Consolas" w:eastAsia="Calibri" w:hAnsi="Consolas"/>
      <w:sz w:val="21"/>
      <w:szCs w:val="21"/>
      <w:lang w:val="en-US"/>
    </w:rPr>
  </w:style>
  <w:style w:type="character" w:customStyle="1" w:styleId="afe">
    <w:name w:val="Текст Знак"/>
    <w:basedOn w:val="a1"/>
    <w:link w:val="afd"/>
    <w:uiPriority w:val="99"/>
    <w:semiHidden/>
    <w:rsid w:val="00B87C6F"/>
    <w:rPr>
      <w:rFonts w:ascii="Consolas" w:eastAsia="Calibri" w:hAnsi="Consolas" w:cs="Times New Roman"/>
      <w:sz w:val="21"/>
      <w:szCs w:val="21"/>
    </w:rPr>
  </w:style>
  <w:style w:type="paragraph" w:customStyle="1" w:styleId="aff">
    <w:name w:val="Знак Знак Знак Знак Знак Знак Знак Знак Знак"/>
    <w:basedOn w:val="a0"/>
    <w:rsid w:val="00103137"/>
    <w:rPr>
      <w:rFonts w:ascii="Verdana" w:hAnsi="Verdana" w:cs="Verdana"/>
      <w:lang w:val="en-US"/>
    </w:rPr>
  </w:style>
  <w:style w:type="character" w:customStyle="1" w:styleId="Style1">
    <w:name w:val="Style1"/>
    <w:basedOn w:val="a1"/>
    <w:uiPriority w:val="1"/>
    <w:rsid w:val="0024640C"/>
    <w:rPr>
      <w:rFonts w:ascii="Myriad Pro" w:hAnsi="Myriad Pro"/>
    </w:rPr>
  </w:style>
  <w:style w:type="character" w:customStyle="1" w:styleId="hps">
    <w:name w:val="hps"/>
    <w:basedOn w:val="a1"/>
    <w:rsid w:val="0052797C"/>
  </w:style>
  <w:style w:type="paragraph" w:customStyle="1" w:styleId="aff0">
    <w:name w:val="Знак Знак Знак Знак Знак Знак Знак Знак Знак"/>
    <w:basedOn w:val="a0"/>
    <w:rsid w:val="005E73A2"/>
    <w:rPr>
      <w:rFonts w:ascii="Verdana" w:hAnsi="Verdana" w:cs="Verdana"/>
      <w:lang w:val="en-US"/>
    </w:rPr>
  </w:style>
  <w:style w:type="paragraph" w:customStyle="1" w:styleId="rvps2">
    <w:name w:val="rvps2"/>
    <w:basedOn w:val="a0"/>
    <w:rsid w:val="00DD07C3"/>
    <w:pPr>
      <w:spacing w:before="100" w:beforeAutospacing="1" w:after="100" w:afterAutospacing="1"/>
    </w:pPr>
    <w:rPr>
      <w:sz w:val="24"/>
      <w:szCs w:val="24"/>
      <w:lang w:val="en-US"/>
    </w:rPr>
  </w:style>
  <w:style w:type="character" w:customStyle="1" w:styleId="a8">
    <w:name w:val="Верхний колонтитул Знак"/>
    <w:link w:val="a7"/>
    <w:locked/>
    <w:rsid w:val="003B69DD"/>
  </w:style>
  <w:style w:type="character" w:styleId="aff1">
    <w:name w:val="footnote reference"/>
    <w:aliases w:val="16 Point,Superscript 6 Point,Superscript 6 Point + 11 pt,Style 24,o,ftref,BVI fnr,fr,Footnote Ref in FtNote,SUPERS"/>
    <w:basedOn w:val="a1"/>
    <w:unhideWhenUsed/>
    <w:rsid w:val="00A16896"/>
    <w:rPr>
      <w:vertAlign w:val="superscript"/>
    </w:rPr>
  </w:style>
  <w:style w:type="character" w:customStyle="1" w:styleId="af7">
    <w:name w:val="Абзац списка Знак"/>
    <w:aliases w:val="List Paragraph1 Знак,Left Bullet L1 Знак,Bullets Знак,List Paragraph (numbered (a)) Знак,Akapit z listą BS Знак,WB Para Знак"/>
    <w:basedOn w:val="a1"/>
    <w:link w:val="af6"/>
    <w:rsid w:val="008C4408"/>
    <w:rPr>
      <w:rFonts w:ascii="Calibri" w:eastAsia="Calibri" w:hAnsi="Calibri"/>
      <w:sz w:val="22"/>
      <w:szCs w:val="22"/>
    </w:rPr>
  </w:style>
  <w:style w:type="character" w:customStyle="1" w:styleId="txt">
    <w:name w:val="txt"/>
    <w:basedOn w:val="a1"/>
    <w:rsid w:val="00AB3940"/>
  </w:style>
  <w:style w:type="character" w:customStyle="1" w:styleId="13">
    <w:name w:val="Дата1"/>
    <w:basedOn w:val="a1"/>
    <w:rsid w:val="00AB3940"/>
  </w:style>
  <w:style w:type="character" w:customStyle="1" w:styleId="spelle">
    <w:name w:val="spelle"/>
    <w:basedOn w:val="a1"/>
    <w:rsid w:val="00363F14"/>
  </w:style>
  <w:style w:type="paragraph" w:customStyle="1" w:styleId="m7598261622838100721gmail-default">
    <w:name w:val="m_7598261622838100721gmail-default"/>
    <w:basedOn w:val="a0"/>
    <w:rsid w:val="003D31A6"/>
    <w:pPr>
      <w:spacing w:before="100" w:beforeAutospacing="1" w:after="100" w:afterAutospacing="1"/>
    </w:pPr>
    <w:rPr>
      <w:sz w:val="24"/>
      <w:szCs w:val="24"/>
      <w:lang w:val="ru-RU" w:eastAsia="ru-RU"/>
    </w:rPr>
  </w:style>
  <w:style w:type="paragraph" w:customStyle="1" w:styleId="CM3">
    <w:name w:val="CM3"/>
    <w:basedOn w:val="a0"/>
    <w:next w:val="a0"/>
    <w:rsid w:val="00C1321F"/>
    <w:pPr>
      <w:widowControl w:val="0"/>
      <w:autoSpaceDE w:val="0"/>
      <w:autoSpaceDN w:val="0"/>
      <w:adjustRightInd w:val="0"/>
      <w:spacing w:line="268" w:lineRule="atLeast"/>
    </w:pPr>
    <w:rPr>
      <w:sz w:val="24"/>
      <w:szCs w:val="24"/>
      <w:lang w:val="uk-UA" w:eastAsia="uk-UA"/>
    </w:rPr>
  </w:style>
  <w:style w:type="character" w:customStyle="1" w:styleId="23">
    <w:name w:val="Дата2"/>
    <w:basedOn w:val="a1"/>
    <w:rsid w:val="001703E3"/>
  </w:style>
  <w:style w:type="character" w:customStyle="1" w:styleId="EmailStyle16">
    <w:name w:val="EmailStyle16"/>
    <w:semiHidden/>
    <w:rsid w:val="00047CFA"/>
    <w:rPr>
      <w:rFonts w:ascii="Arial" w:hAnsi="Arial"/>
      <w:color w:val="000000"/>
    </w:rPr>
  </w:style>
  <w:style w:type="character" w:customStyle="1" w:styleId="Date1">
    <w:name w:val="Date1"/>
    <w:basedOn w:val="a1"/>
    <w:rsid w:val="00910880"/>
  </w:style>
  <w:style w:type="paragraph" w:styleId="aff2">
    <w:name w:val="annotation subject"/>
    <w:basedOn w:val="af1"/>
    <w:next w:val="af1"/>
    <w:link w:val="aff3"/>
    <w:uiPriority w:val="99"/>
    <w:semiHidden/>
    <w:unhideWhenUsed/>
    <w:rsid w:val="002B44AF"/>
    <w:pPr>
      <w:widowControl/>
      <w:suppressAutoHyphens w:val="0"/>
    </w:pPr>
    <w:rPr>
      <w:rFonts w:eastAsia="Times New Roman"/>
      <w:b/>
      <w:bCs/>
      <w:lang w:eastAsia="en-US"/>
    </w:rPr>
  </w:style>
  <w:style w:type="character" w:customStyle="1" w:styleId="aff3">
    <w:name w:val="Тема примечания Знак"/>
    <w:basedOn w:val="af2"/>
    <w:link w:val="aff2"/>
    <w:uiPriority w:val="99"/>
    <w:semiHidden/>
    <w:rsid w:val="002B44AF"/>
    <w:rPr>
      <w:rFonts w:eastAsia="Lucida Sans Unicode"/>
      <w:b/>
      <w:bCs/>
      <w:lang w:val="en-AU" w:eastAsia="ar-SA" w:bidi="ar-SA"/>
    </w:rPr>
  </w:style>
  <w:style w:type="character" w:customStyle="1" w:styleId="shorttext">
    <w:name w:val="short_text"/>
    <w:basedOn w:val="a1"/>
    <w:rsid w:val="00D35EBA"/>
  </w:style>
  <w:style w:type="paragraph" w:customStyle="1" w:styleId="bodytext">
    <w:name w:val="bodytext"/>
    <w:basedOn w:val="a0"/>
    <w:rsid w:val="00C319C9"/>
    <w:pPr>
      <w:spacing w:before="100" w:beforeAutospacing="1" w:after="100" w:afterAutospacing="1"/>
    </w:pPr>
    <w:rPr>
      <w:sz w:val="24"/>
      <w:szCs w:val="24"/>
      <w:lang w:val="ru-RU" w:eastAsia="ru-RU"/>
    </w:rPr>
  </w:style>
  <w:style w:type="paragraph" w:customStyle="1" w:styleId="rvps12">
    <w:name w:val="rvps12"/>
    <w:basedOn w:val="a0"/>
    <w:rsid w:val="00C20E44"/>
    <w:pPr>
      <w:spacing w:before="100" w:beforeAutospacing="1" w:after="100" w:afterAutospacing="1"/>
    </w:pPr>
    <w:rPr>
      <w:sz w:val="24"/>
      <w:szCs w:val="24"/>
      <w:lang w:val="ru-RU" w:eastAsia="ru-RU"/>
    </w:rPr>
  </w:style>
  <w:style w:type="paragraph" w:customStyle="1" w:styleId="TableText">
    <w:name w:val="Table_Text"/>
    <w:basedOn w:val="a0"/>
    <w:qFormat/>
    <w:rsid w:val="00331A9B"/>
    <w:pPr>
      <w:spacing w:line="276" w:lineRule="auto"/>
      <w:jc w:val="both"/>
    </w:pPr>
    <w:rPr>
      <w:rFonts w:ascii="Arial" w:eastAsia="Calibri" w:hAnsi="Arial"/>
      <w:sz w:val="18"/>
      <w:szCs w:val="22"/>
      <w:lang w:val="en-US"/>
    </w:rPr>
  </w:style>
  <w:style w:type="character" w:customStyle="1" w:styleId="rvts0">
    <w:name w:val="rvts0"/>
    <w:basedOn w:val="a1"/>
    <w:rsid w:val="00EB69B2"/>
  </w:style>
  <w:style w:type="paragraph" w:customStyle="1" w:styleId="xfmc1">
    <w:name w:val="xfmc1"/>
    <w:basedOn w:val="a0"/>
    <w:rsid w:val="007C02E9"/>
    <w:pPr>
      <w:spacing w:before="100" w:beforeAutospacing="1" w:after="100" w:afterAutospacing="1"/>
    </w:pPr>
    <w:rPr>
      <w:rFonts w:ascii="Times" w:hAnsi="Times"/>
      <w:lang w:val="en-US" w:eastAsia="ru-RU"/>
    </w:rPr>
  </w:style>
  <w:style w:type="paragraph" w:customStyle="1" w:styleId="xfmc2">
    <w:name w:val="xfmc2"/>
    <w:basedOn w:val="a0"/>
    <w:rsid w:val="001510A7"/>
    <w:pPr>
      <w:spacing w:before="100" w:beforeAutospacing="1" w:after="100" w:afterAutospacing="1"/>
    </w:pPr>
    <w:rPr>
      <w:rFonts w:ascii="Times" w:hAnsi="Times"/>
      <w:lang w:val="en-US" w:eastAsia="ru-RU"/>
    </w:rPr>
  </w:style>
  <w:style w:type="paragraph" w:customStyle="1" w:styleId="BodyCopy">
    <w:name w:val="Body Copy"/>
    <w:basedOn w:val="a0"/>
    <w:link w:val="BodyCopyChar"/>
    <w:rsid w:val="00635295"/>
    <w:pPr>
      <w:widowControl w:val="0"/>
      <w:autoSpaceDE w:val="0"/>
      <w:autoSpaceDN w:val="0"/>
      <w:adjustRightInd w:val="0"/>
      <w:spacing w:after="180" w:line="288" w:lineRule="auto"/>
      <w:jc w:val="both"/>
      <w:textAlignment w:val="center"/>
    </w:pPr>
    <w:rPr>
      <w:rFonts w:ascii="MyriadPro-Regular" w:hAnsi="MyriadPro-Regular"/>
      <w:color w:val="000000"/>
      <w:lang w:val="en-US"/>
    </w:rPr>
  </w:style>
  <w:style w:type="character" w:customStyle="1" w:styleId="BodyCopyChar">
    <w:name w:val="Body Copy Char"/>
    <w:basedOn w:val="a1"/>
    <w:link w:val="BodyCopy"/>
    <w:rsid w:val="00635295"/>
    <w:rPr>
      <w:rFonts w:ascii="MyriadPro-Regular" w:hAnsi="MyriadPro-Regular"/>
      <w:color w:val="000000"/>
    </w:rPr>
  </w:style>
  <w:style w:type="character" w:customStyle="1" w:styleId="31">
    <w:name w:val="Основной текст (3)_"/>
    <w:basedOn w:val="a1"/>
    <w:link w:val="32"/>
    <w:rsid w:val="00D8715A"/>
    <w:rPr>
      <w:rFonts w:ascii="Calibri" w:eastAsia="Calibri" w:hAnsi="Calibri" w:cs="Calibri"/>
      <w:b/>
      <w:bCs/>
      <w:sz w:val="23"/>
      <w:szCs w:val="23"/>
      <w:shd w:val="clear" w:color="auto" w:fill="FFFFFF"/>
    </w:rPr>
  </w:style>
  <w:style w:type="character" w:customStyle="1" w:styleId="Calibri115pt0pt">
    <w:name w:val="Основной текст + Calibri;11;5 pt;Полужирный;Интервал 0 pt"/>
    <w:basedOn w:val="a1"/>
    <w:rsid w:val="00D8715A"/>
    <w:rPr>
      <w:rFonts w:ascii="Calibri" w:eastAsia="Calibri" w:hAnsi="Calibri" w:cs="Calibri"/>
      <w:b/>
      <w:bCs/>
      <w:i w:val="0"/>
      <w:iCs w:val="0"/>
      <w:smallCaps w:val="0"/>
      <w:strike w:val="0"/>
      <w:color w:val="000000"/>
      <w:spacing w:val="0"/>
      <w:w w:val="100"/>
      <w:position w:val="0"/>
      <w:sz w:val="23"/>
      <w:szCs w:val="23"/>
      <w:u w:val="none"/>
      <w:lang w:val="en-US"/>
    </w:rPr>
  </w:style>
  <w:style w:type="paragraph" w:customStyle="1" w:styleId="32">
    <w:name w:val="Основной текст (3)"/>
    <w:basedOn w:val="a0"/>
    <w:link w:val="31"/>
    <w:rsid w:val="00D8715A"/>
    <w:pPr>
      <w:widowControl w:val="0"/>
      <w:shd w:val="clear" w:color="auto" w:fill="FFFFFF"/>
      <w:spacing w:before="1020" w:after="540" w:line="0" w:lineRule="atLeast"/>
      <w:jc w:val="center"/>
    </w:pPr>
    <w:rPr>
      <w:rFonts w:ascii="Calibri" w:eastAsia="Calibri" w:hAnsi="Calibri" w:cs="Calibri"/>
      <w:b/>
      <w:bCs/>
      <w:sz w:val="23"/>
      <w:szCs w:val="23"/>
      <w:lang w:val="en-US"/>
    </w:rPr>
  </w:style>
  <w:style w:type="character" w:customStyle="1" w:styleId="aff4">
    <w:name w:val="Основной текст_"/>
    <w:basedOn w:val="a1"/>
    <w:link w:val="14"/>
    <w:rsid w:val="00011AE3"/>
    <w:rPr>
      <w:rFonts w:ascii="Lucida Sans Unicode" w:eastAsia="Lucida Sans Unicode" w:hAnsi="Lucida Sans Unicode" w:cs="Lucida Sans Unicode"/>
      <w:spacing w:val="-10"/>
      <w:shd w:val="clear" w:color="auto" w:fill="FFFFFF"/>
    </w:rPr>
  </w:style>
  <w:style w:type="paragraph" w:customStyle="1" w:styleId="14">
    <w:name w:val="Основной текст1"/>
    <w:basedOn w:val="a0"/>
    <w:link w:val="aff4"/>
    <w:rsid w:val="00011AE3"/>
    <w:pPr>
      <w:widowControl w:val="0"/>
      <w:shd w:val="clear" w:color="auto" w:fill="FFFFFF"/>
      <w:spacing w:before="540" w:after="180" w:line="0" w:lineRule="atLeast"/>
      <w:ind w:hanging="360"/>
      <w:jc w:val="both"/>
    </w:pPr>
    <w:rPr>
      <w:rFonts w:ascii="Lucida Sans Unicode" w:eastAsia="Lucida Sans Unicode" w:hAnsi="Lucida Sans Unicode" w:cs="Lucida Sans Unicode"/>
      <w:spacing w:val="-1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732">
      <w:bodyDiv w:val="1"/>
      <w:marLeft w:val="0"/>
      <w:marRight w:val="0"/>
      <w:marTop w:val="0"/>
      <w:marBottom w:val="0"/>
      <w:divBdr>
        <w:top w:val="none" w:sz="0" w:space="0" w:color="auto"/>
        <w:left w:val="none" w:sz="0" w:space="0" w:color="auto"/>
        <w:bottom w:val="none" w:sz="0" w:space="0" w:color="auto"/>
        <w:right w:val="none" w:sz="0" w:space="0" w:color="auto"/>
      </w:divBdr>
    </w:div>
    <w:div w:id="77027085">
      <w:bodyDiv w:val="1"/>
      <w:marLeft w:val="0"/>
      <w:marRight w:val="0"/>
      <w:marTop w:val="0"/>
      <w:marBottom w:val="0"/>
      <w:divBdr>
        <w:top w:val="none" w:sz="0" w:space="0" w:color="auto"/>
        <w:left w:val="none" w:sz="0" w:space="0" w:color="auto"/>
        <w:bottom w:val="none" w:sz="0" w:space="0" w:color="auto"/>
        <w:right w:val="none" w:sz="0" w:space="0" w:color="auto"/>
      </w:divBdr>
      <w:divsChild>
        <w:div w:id="1577401062">
          <w:marLeft w:val="446"/>
          <w:marRight w:val="0"/>
          <w:marTop w:val="101"/>
          <w:marBottom w:val="0"/>
          <w:divBdr>
            <w:top w:val="none" w:sz="0" w:space="0" w:color="auto"/>
            <w:left w:val="none" w:sz="0" w:space="0" w:color="auto"/>
            <w:bottom w:val="none" w:sz="0" w:space="0" w:color="auto"/>
            <w:right w:val="none" w:sz="0" w:space="0" w:color="auto"/>
          </w:divBdr>
        </w:div>
        <w:div w:id="1076853398">
          <w:marLeft w:val="446"/>
          <w:marRight w:val="0"/>
          <w:marTop w:val="101"/>
          <w:marBottom w:val="0"/>
          <w:divBdr>
            <w:top w:val="none" w:sz="0" w:space="0" w:color="auto"/>
            <w:left w:val="none" w:sz="0" w:space="0" w:color="auto"/>
            <w:bottom w:val="none" w:sz="0" w:space="0" w:color="auto"/>
            <w:right w:val="none" w:sz="0" w:space="0" w:color="auto"/>
          </w:divBdr>
        </w:div>
        <w:div w:id="536821961">
          <w:marLeft w:val="446"/>
          <w:marRight w:val="0"/>
          <w:marTop w:val="101"/>
          <w:marBottom w:val="0"/>
          <w:divBdr>
            <w:top w:val="none" w:sz="0" w:space="0" w:color="auto"/>
            <w:left w:val="none" w:sz="0" w:space="0" w:color="auto"/>
            <w:bottom w:val="none" w:sz="0" w:space="0" w:color="auto"/>
            <w:right w:val="none" w:sz="0" w:space="0" w:color="auto"/>
          </w:divBdr>
        </w:div>
        <w:div w:id="1012148988">
          <w:marLeft w:val="446"/>
          <w:marRight w:val="0"/>
          <w:marTop w:val="101"/>
          <w:marBottom w:val="0"/>
          <w:divBdr>
            <w:top w:val="none" w:sz="0" w:space="0" w:color="auto"/>
            <w:left w:val="none" w:sz="0" w:space="0" w:color="auto"/>
            <w:bottom w:val="none" w:sz="0" w:space="0" w:color="auto"/>
            <w:right w:val="none" w:sz="0" w:space="0" w:color="auto"/>
          </w:divBdr>
        </w:div>
        <w:div w:id="1523471893">
          <w:marLeft w:val="446"/>
          <w:marRight w:val="0"/>
          <w:marTop w:val="101"/>
          <w:marBottom w:val="0"/>
          <w:divBdr>
            <w:top w:val="none" w:sz="0" w:space="0" w:color="auto"/>
            <w:left w:val="none" w:sz="0" w:space="0" w:color="auto"/>
            <w:bottom w:val="none" w:sz="0" w:space="0" w:color="auto"/>
            <w:right w:val="none" w:sz="0" w:space="0" w:color="auto"/>
          </w:divBdr>
        </w:div>
      </w:divsChild>
    </w:div>
    <w:div w:id="83888804">
      <w:bodyDiv w:val="1"/>
      <w:marLeft w:val="0"/>
      <w:marRight w:val="0"/>
      <w:marTop w:val="0"/>
      <w:marBottom w:val="0"/>
      <w:divBdr>
        <w:top w:val="none" w:sz="0" w:space="0" w:color="auto"/>
        <w:left w:val="none" w:sz="0" w:space="0" w:color="auto"/>
        <w:bottom w:val="none" w:sz="0" w:space="0" w:color="auto"/>
        <w:right w:val="none" w:sz="0" w:space="0" w:color="auto"/>
      </w:divBdr>
    </w:div>
    <w:div w:id="135953005">
      <w:bodyDiv w:val="1"/>
      <w:marLeft w:val="0"/>
      <w:marRight w:val="0"/>
      <w:marTop w:val="0"/>
      <w:marBottom w:val="0"/>
      <w:divBdr>
        <w:top w:val="none" w:sz="0" w:space="0" w:color="auto"/>
        <w:left w:val="none" w:sz="0" w:space="0" w:color="auto"/>
        <w:bottom w:val="none" w:sz="0" w:space="0" w:color="auto"/>
        <w:right w:val="none" w:sz="0" w:space="0" w:color="auto"/>
      </w:divBdr>
    </w:div>
    <w:div w:id="150102508">
      <w:bodyDiv w:val="1"/>
      <w:marLeft w:val="0"/>
      <w:marRight w:val="0"/>
      <w:marTop w:val="0"/>
      <w:marBottom w:val="0"/>
      <w:divBdr>
        <w:top w:val="none" w:sz="0" w:space="0" w:color="auto"/>
        <w:left w:val="none" w:sz="0" w:space="0" w:color="auto"/>
        <w:bottom w:val="none" w:sz="0" w:space="0" w:color="auto"/>
        <w:right w:val="none" w:sz="0" w:space="0" w:color="auto"/>
      </w:divBdr>
      <w:divsChild>
        <w:div w:id="220408184">
          <w:marLeft w:val="0"/>
          <w:marRight w:val="0"/>
          <w:marTop w:val="0"/>
          <w:marBottom w:val="0"/>
          <w:divBdr>
            <w:top w:val="none" w:sz="0" w:space="0" w:color="auto"/>
            <w:left w:val="none" w:sz="0" w:space="0" w:color="auto"/>
            <w:bottom w:val="none" w:sz="0" w:space="0" w:color="auto"/>
            <w:right w:val="none" w:sz="0" w:space="0" w:color="auto"/>
          </w:divBdr>
        </w:div>
        <w:div w:id="309411173">
          <w:marLeft w:val="0"/>
          <w:marRight w:val="0"/>
          <w:marTop w:val="0"/>
          <w:marBottom w:val="0"/>
          <w:divBdr>
            <w:top w:val="none" w:sz="0" w:space="0" w:color="auto"/>
            <w:left w:val="none" w:sz="0" w:space="0" w:color="auto"/>
            <w:bottom w:val="none" w:sz="0" w:space="0" w:color="auto"/>
            <w:right w:val="none" w:sz="0" w:space="0" w:color="auto"/>
          </w:divBdr>
        </w:div>
        <w:div w:id="329722432">
          <w:marLeft w:val="0"/>
          <w:marRight w:val="0"/>
          <w:marTop w:val="0"/>
          <w:marBottom w:val="0"/>
          <w:divBdr>
            <w:top w:val="none" w:sz="0" w:space="0" w:color="auto"/>
            <w:left w:val="none" w:sz="0" w:space="0" w:color="auto"/>
            <w:bottom w:val="none" w:sz="0" w:space="0" w:color="auto"/>
            <w:right w:val="none" w:sz="0" w:space="0" w:color="auto"/>
          </w:divBdr>
        </w:div>
        <w:div w:id="354380628">
          <w:marLeft w:val="0"/>
          <w:marRight w:val="0"/>
          <w:marTop w:val="0"/>
          <w:marBottom w:val="0"/>
          <w:divBdr>
            <w:top w:val="none" w:sz="0" w:space="0" w:color="auto"/>
            <w:left w:val="none" w:sz="0" w:space="0" w:color="auto"/>
            <w:bottom w:val="none" w:sz="0" w:space="0" w:color="auto"/>
            <w:right w:val="none" w:sz="0" w:space="0" w:color="auto"/>
          </w:divBdr>
        </w:div>
        <w:div w:id="449471562">
          <w:marLeft w:val="0"/>
          <w:marRight w:val="0"/>
          <w:marTop w:val="0"/>
          <w:marBottom w:val="0"/>
          <w:divBdr>
            <w:top w:val="none" w:sz="0" w:space="0" w:color="auto"/>
            <w:left w:val="none" w:sz="0" w:space="0" w:color="auto"/>
            <w:bottom w:val="none" w:sz="0" w:space="0" w:color="auto"/>
            <w:right w:val="none" w:sz="0" w:space="0" w:color="auto"/>
          </w:divBdr>
        </w:div>
        <w:div w:id="458884166">
          <w:marLeft w:val="0"/>
          <w:marRight w:val="0"/>
          <w:marTop w:val="0"/>
          <w:marBottom w:val="0"/>
          <w:divBdr>
            <w:top w:val="none" w:sz="0" w:space="0" w:color="auto"/>
            <w:left w:val="none" w:sz="0" w:space="0" w:color="auto"/>
            <w:bottom w:val="none" w:sz="0" w:space="0" w:color="auto"/>
            <w:right w:val="none" w:sz="0" w:space="0" w:color="auto"/>
          </w:divBdr>
        </w:div>
        <w:div w:id="528877510">
          <w:marLeft w:val="0"/>
          <w:marRight w:val="0"/>
          <w:marTop w:val="0"/>
          <w:marBottom w:val="0"/>
          <w:divBdr>
            <w:top w:val="none" w:sz="0" w:space="0" w:color="auto"/>
            <w:left w:val="none" w:sz="0" w:space="0" w:color="auto"/>
            <w:bottom w:val="none" w:sz="0" w:space="0" w:color="auto"/>
            <w:right w:val="none" w:sz="0" w:space="0" w:color="auto"/>
          </w:divBdr>
        </w:div>
        <w:div w:id="819031300">
          <w:marLeft w:val="0"/>
          <w:marRight w:val="0"/>
          <w:marTop w:val="0"/>
          <w:marBottom w:val="0"/>
          <w:divBdr>
            <w:top w:val="none" w:sz="0" w:space="0" w:color="auto"/>
            <w:left w:val="none" w:sz="0" w:space="0" w:color="auto"/>
            <w:bottom w:val="none" w:sz="0" w:space="0" w:color="auto"/>
            <w:right w:val="none" w:sz="0" w:space="0" w:color="auto"/>
          </w:divBdr>
        </w:div>
        <w:div w:id="857696501">
          <w:marLeft w:val="0"/>
          <w:marRight w:val="0"/>
          <w:marTop w:val="0"/>
          <w:marBottom w:val="0"/>
          <w:divBdr>
            <w:top w:val="none" w:sz="0" w:space="0" w:color="auto"/>
            <w:left w:val="none" w:sz="0" w:space="0" w:color="auto"/>
            <w:bottom w:val="none" w:sz="0" w:space="0" w:color="auto"/>
            <w:right w:val="none" w:sz="0" w:space="0" w:color="auto"/>
          </w:divBdr>
        </w:div>
        <w:div w:id="864292659">
          <w:marLeft w:val="0"/>
          <w:marRight w:val="0"/>
          <w:marTop w:val="0"/>
          <w:marBottom w:val="0"/>
          <w:divBdr>
            <w:top w:val="none" w:sz="0" w:space="0" w:color="auto"/>
            <w:left w:val="none" w:sz="0" w:space="0" w:color="auto"/>
            <w:bottom w:val="none" w:sz="0" w:space="0" w:color="auto"/>
            <w:right w:val="none" w:sz="0" w:space="0" w:color="auto"/>
          </w:divBdr>
        </w:div>
        <w:div w:id="865871060">
          <w:marLeft w:val="0"/>
          <w:marRight w:val="0"/>
          <w:marTop w:val="0"/>
          <w:marBottom w:val="0"/>
          <w:divBdr>
            <w:top w:val="none" w:sz="0" w:space="0" w:color="auto"/>
            <w:left w:val="none" w:sz="0" w:space="0" w:color="auto"/>
            <w:bottom w:val="none" w:sz="0" w:space="0" w:color="auto"/>
            <w:right w:val="none" w:sz="0" w:space="0" w:color="auto"/>
          </w:divBdr>
        </w:div>
        <w:div w:id="1003357742">
          <w:marLeft w:val="0"/>
          <w:marRight w:val="0"/>
          <w:marTop w:val="0"/>
          <w:marBottom w:val="0"/>
          <w:divBdr>
            <w:top w:val="none" w:sz="0" w:space="0" w:color="auto"/>
            <w:left w:val="none" w:sz="0" w:space="0" w:color="auto"/>
            <w:bottom w:val="none" w:sz="0" w:space="0" w:color="auto"/>
            <w:right w:val="none" w:sz="0" w:space="0" w:color="auto"/>
          </w:divBdr>
        </w:div>
        <w:div w:id="1202671862">
          <w:marLeft w:val="0"/>
          <w:marRight w:val="0"/>
          <w:marTop w:val="0"/>
          <w:marBottom w:val="0"/>
          <w:divBdr>
            <w:top w:val="none" w:sz="0" w:space="0" w:color="auto"/>
            <w:left w:val="none" w:sz="0" w:space="0" w:color="auto"/>
            <w:bottom w:val="none" w:sz="0" w:space="0" w:color="auto"/>
            <w:right w:val="none" w:sz="0" w:space="0" w:color="auto"/>
          </w:divBdr>
        </w:div>
        <w:div w:id="1295410014">
          <w:marLeft w:val="0"/>
          <w:marRight w:val="0"/>
          <w:marTop w:val="0"/>
          <w:marBottom w:val="0"/>
          <w:divBdr>
            <w:top w:val="none" w:sz="0" w:space="0" w:color="auto"/>
            <w:left w:val="none" w:sz="0" w:space="0" w:color="auto"/>
            <w:bottom w:val="none" w:sz="0" w:space="0" w:color="auto"/>
            <w:right w:val="none" w:sz="0" w:space="0" w:color="auto"/>
          </w:divBdr>
        </w:div>
        <w:div w:id="1300763503">
          <w:marLeft w:val="0"/>
          <w:marRight w:val="0"/>
          <w:marTop w:val="0"/>
          <w:marBottom w:val="0"/>
          <w:divBdr>
            <w:top w:val="none" w:sz="0" w:space="0" w:color="auto"/>
            <w:left w:val="none" w:sz="0" w:space="0" w:color="auto"/>
            <w:bottom w:val="none" w:sz="0" w:space="0" w:color="auto"/>
            <w:right w:val="none" w:sz="0" w:space="0" w:color="auto"/>
          </w:divBdr>
        </w:div>
        <w:div w:id="1490751889">
          <w:marLeft w:val="0"/>
          <w:marRight w:val="0"/>
          <w:marTop w:val="0"/>
          <w:marBottom w:val="0"/>
          <w:divBdr>
            <w:top w:val="none" w:sz="0" w:space="0" w:color="auto"/>
            <w:left w:val="none" w:sz="0" w:space="0" w:color="auto"/>
            <w:bottom w:val="none" w:sz="0" w:space="0" w:color="auto"/>
            <w:right w:val="none" w:sz="0" w:space="0" w:color="auto"/>
          </w:divBdr>
        </w:div>
        <w:div w:id="1600479784">
          <w:marLeft w:val="0"/>
          <w:marRight w:val="0"/>
          <w:marTop w:val="0"/>
          <w:marBottom w:val="0"/>
          <w:divBdr>
            <w:top w:val="none" w:sz="0" w:space="0" w:color="auto"/>
            <w:left w:val="none" w:sz="0" w:space="0" w:color="auto"/>
            <w:bottom w:val="none" w:sz="0" w:space="0" w:color="auto"/>
            <w:right w:val="none" w:sz="0" w:space="0" w:color="auto"/>
          </w:divBdr>
        </w:div>
        <w:div w:id="1661225364">
          <w:marLeft w:val="0"/>
          <w:marRight w:val="0"/>
          <w:marTop w:val="0"/>
          <w:marBottom w:val="0"/>
          <w:divBdr>
            <w:top w:val="none" w:sz="0" w:space="0" w:color="auto"/>
            <w:left w:val="none" w:sz="0" w:space="0" w:color="auto"/>
            <w:bottom w:val="none" w:sz="0" w:space="0" w:color="auto"/>
            <w:right w:val="none" w:sz="0" w:space="0" w:color="auto"/>
          </w:divBdr>
        </w:div>
        <w:div w:id="1739284669">
          <w:marLeft w:val="0"/>
          <w:marRight w:val="0"/>
          <w:marTop w:val="0"/>
          <w:marBottom w:val="0"/>
          <w:divBdr>
            <w:top w:val="none" w:sz="0" w:space="0" w:color="auto"/>
            <w:left w:val="none" w:sz="0" w:space="0" w:color="auto"/>
            <w:bottom w:val="none" w:sz="0" w:space="0" w:color="auto"/>
            <w:right w:val="none" w:sz="0" w:space="0" w:color="auto"/>
          </w:divBdr>
        </w:div>
        <w:div w:id="2028174683">
          <w:marLeft w:val="0"/>
          <w:marRight w:val="0"/>
          <w:marTop w:val="0"/>
          <w:marBottom w:val="0"/>
          <w:divBdr>
            <w:top w:val="none" w:sz="0" w:space="0" w:color="auto"/>
            <w:left w:val="none" w:sz="0" w:space="0" w:color="auto"/>
            <w:bottom w:val="none" w:sz="0" w:space="0" w:color="auto"/>
            <w:right w:val="none" w:sz="0" w:space="0" w:color="auto"/>
          </w:divBdr>
        </w:div>
      </w:divsChild>
    </w:div>
    <w:div w:id="165097090">
      <w:bodyDiv w:val="1"/>
      <w:marLeft w:val="0"/>
      <w:marRight w:val="0"/>
      <w:marTop w:val="0"/>
      <w:marBottom w:val="0"/>
      <w:divBdr>
        <w:top w:val="none" w:sz="0" w:space="0" w:color="auto"/>
        <w:left w:val="none" w:sz="0" w:space="0" w:color="auto"/>
        <w:bottom w:val="none" w:sz="0" w:space="0" w:color="auto"/>
        <w:right w:val="none" w:sz="0" w:space="0" w:color="auto"/>
      </w:divBdr>
      <w:divsChild>
        <w:div w:id="107162450">
          <w:marLeft w:val="0"/>
          <w:marRight w:val="0"/>
          <w:marTop w:val="0"/>
          <w:marBottom w:val="0"/>
          <w:divBdr>
            <w:top w:val="none" w:sz="0" w:space="0" w:color="auto"/>
            <w:left w:val="none" w:sz="0" w:space="0" w:color="auto"/>
            <w:bottom w:val="none" w:sz="0" w:space="0" w:color="auto"/>
            <w:right w:val="none" w:sz="0" w:space="0" w:color="auto"/>
          </w:divBdr>
          <w:divsChild>
            <w:div w:id="1400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638">
      <w:bodyDiv w:val="1"/>
      <w:marLeft w:val="0"/>
      <w:marRight w:val="0"/>
      <w:marTop w:val="0"/>
      <w:marBottom w:val="0"/>
      <w:divBdr>
        <w:top w:val="none" w:sz="0" w:space="0" w:color="auto"/>
        <w:left w:val="none" w:sz="0" w:space="0" w:color="auto"/>
        <w:bottom w:val="none" w:sz="0" w:space="0" w:color="auto"/>
        <w:right w:val="none" w:sz="0" w:space="0" w:color="auto"/>
      </w:divBdr>
    </w:div>
    <w:div w:id="232009616">
      <w:bodyDiv w:val="1"/>
      <w:marLeft w:val="0"/>
      <w:marRight w:val="0"/>
      <w:marTop w:val="0"/>
      <w:marBottom w:val="0"/>
      <w:divBdr>
        <w:top w:val="none" w:sz="0" w:space="0" w:color="auto"/>
        <w:left w:val="none" w:sz="0" w:space="0" w:color="auto"/>
        <w:bottom w:val="none" w:sz="0" w:space="0" w:color="auto"/>
        <w:right w:val="none" w:sz="0" w:space="0" w:color="auto"/>
      </w:divBdr>
    </w:div>
    <w:div w:id="235675150">
      <w:bodyDiv w:val="1"/>
      <w:marLeft w:val="0"/>
      <w:marRight w:val="0"/>
      <w:marTop w:val="0"/>
      <w:marBottom w:val="0"/>
      <w:divBdr>
        <w:top w:val="none" w:sz="0" w:space="0" w:color="auto"/>
        <w:left w:val="none" w:sz="0" w:space="0" w:color="auto"/>
        <w:bottom w:val="none" w:sz="0" w:space="0" w:color="auto"/>
        <w:right w:val="none" w:sz="0" w:space="0" w:color="auto"/>
      </w:divBdr>
      <w:divsChild>
        <w:div w:id="5792339">
          <w:marLeft w:val="0"/>
          <w:marRight w:val="0"/>
          <w:marTop w:val="0"/>
          <w:marBottom w:val="0"/>
          <w:divBdr>
            <w:top w:val="none" w:sz="0" w:space="0" w:color="auto"/>
            <w:left w:val="none" w:sz="0" w:space="0" w:color="auto"/>
            <w:bottom w:val="none" w:sz="0" w:space="0" w:color="auto"/>
            <w:right w:val="none" w:sz="0" w:space="0" w:color="auto"/>
          </w:divBdr>
          <w:divsChild>
            <w:div w:id="703017023">
              <w:marLeft w:val="0"/>
              <w:marRight w:val="60"/>
              <w:marTop w:val="0"/>
              <w:marBottom w:val="0"/>
              <w:divBdr>
                <w:top w:val="none" w:sz="0" w:space="0" w:color="auto"/>
                <w:left w:val="none" w:sz="0" w:space="0" w:color="auto"/>
                <w:bottom w:val="none" w:sz="0" w:space="0" w:color="auto"/>
                <w:right w:val="none" w:sz="0" w:space="0" w:color="auto"/>
              </w:divBdr>
              <w:divsChild>
                <w:div w:id="362561822">
                  <w:marLeft w:val="0"/>
                  <w:marRight w:val="0"/>
                  <w:marTop w:val="0"/>
                  <w:marBottom w:val="120"/>
                  <w:divBdr>
                    <w:top w:val="single" w:sz="6" w:space="0" w:color="C0C0C0"/>
                    <w:left w:val="single" w:sz="6" w:space="0" w:color="D9D9D9"/>
                    <w:bottom w:val="single" w:sz="6" w:space="0" w:color="D9D9D9"/>
                    <w:right w:val="single" w:sz="6" w:space="0" w:color="D9D9D9"/>
                  </w:divBdr>
                  <w:divsChild>
                    <w:div w:id="21138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4103">
          <w:marLeft w:val="0"/>
          <w:marRight w:val="0"/>
          <w:marTop w:val="0"/>
          <w:marBottom w:val="0"/>
          <w:divBdr>
            <w:top w:val="none" w:sz="0" w:space="0" w:color="auto"/>
            <w:left w:val="none" w:sz="0" w:space="0" w:color="auto"/>
            <w:bottom w:val="none" w:sz="0" w:space="0" w:color="auto"/>
            <w:right w:val="none" w:sz="0" w:space="0" w:color="auto"/>
          </w:divBdr>
          <w:divsChild>
            <w:div w:id="1129590531">
              <w:marLeft w:val="60"/>
              <w:marRight w:val="0"/>
              <w:marTop w:val="0"/>
              <w:marBottom w:val="0"/>
              <w:divBdr>
                <w:top w:val="none" w:sz="0" w:space="0" w:color="auto"/>
                <w:left w:val="none" w:sz="0" w:space="0" w:color="auto"/>
                <w:bottom w:val="none" w:sz="0" w:space="0" w:color="auto"/>
                <w:right w:val="none" w:sz="0" w:space="0" w:color="auto"/>
              </w:divBdr>
              <w:divsChild>
                <w:div w:id="1146125449">
                  <w:marLeft w:val="0"/>
                  <w:marRight w:val="0"/>
                  <w:marTop w:val="0"/>
                  <w:marBottom w:val="0"/>
                  <w:divBdr>
                    <w:top w:val="none" w:sz="0" w:space="0" w:color="auto"/>
                    <w:left w:val="none" w:sz="0" w:space="0" w:color="auto"/>
                    <w:bottom w:val="none" w:sz="0" w:space="0" w:color="auto"/>
                    <w:right w:val="none" w:sz="0" w:space="0" w:color="auto"/>
                  </w:divBdr>
                  <w:divsChild>
                    <w:div w:id="1081877351">
                      <w:marLeft w:val="0"/>
                      <w:marRight w:val="0"/>
                      <w:marTop w:val="0"/>
                      <w:marBottom w:val="750"/>
                      <w:divBdr>
                        <w:top w:val="single" w:sz="6" w:space="0" w:color="F5F5F5"/>
                        <w:left w:val="single" w:sz="6" w:space="0" w:color="F5F5F5"/>
                        <w:bottom w:val="single" w:sz="6" w:space="0" w:color="F5F5F5"/>
                        <w:right w:val="single" w:sz="6" w:space="0" w:color="F5F5F5"/>
                      </w:divBdr>
                      <w:divsChild>
                        <w:div w:id="1687825840">
                          <w:marLeft w:val="0"/>
                          <w:marRight w:val="0"/>
                          <w:marTop w:val="0"/>
                          <w:marBottom w:val="0"/>
                          <w:divBdr>
                            <w:top w:val="none" w:sz="0" w:space="0" w:color="auto"/>
                            <w:left w:val="none" w:sz="0" w:space="0" w:color="auto"/>
                            <w:bottom w:val="none" w:sz="0" w:space="0" w:color="auto"/>
                            <w:right w:val="none" w:sz="0" w:space="0" w:color="auto"/>
                          </w:divBdr>
                          <w:divsChild>
                            <w:div w:id="5544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050049">
      <w:bodyDiv w:val="1"/>
      <w:marLeft w:val="0"/>
      <w:marRight w:val="0"/>
      <w:marTop w:val="0"/>
      <w:marBottom w:val="0"/>
      <w:divBdr>
        <w:top w:val="none" w:sz="0" w:space="0" w:color="auto"/>
        <w:left w:val="none" w:sz="0" w:space="0" w:color="auto"/>
        <w:bottom w:val="none" w:sz="0" w:space="0" w:color="auto"/>
        <w:right w:val="none" w:sz="0" w:space="0" w:color="auto"/>
      </w:divBdr>
    </w:div>
    <w:div w:id="266238563">
      <w:bodyDiv w:val="1"/>
      <w:marLeft w:val="0"/>
      <w:marRight w:val="0"/>
      <w:marTop w:val="0"/>
      <w:marBottom w:val="0"/>
      <w:divBdr>
        <w:top w:val="none" w:sz="0" w:space="0" w:color="auto"/>
        <w:left w:val="none" w:sz="0" w:space="0" w:color="auto"/>
        <w:bottom w:val="none" w:sz="0" w:space="0" w:color="auto"/>
        <w:right w:val="none" w:sz="0" w:space="0" w:color="auto"/>
      </w:divBdr>
    </w:div>
    <w:div w:id="421343638">
      <w:bodyDiv w:val="1"/>
      <w:marLeft w:val="0"/>
      <w:marRight w:val="0"/>
      <w:marTop w:val="0"/>
      <w:marBottom w:val="0"/>
      <w:divBdr>
        <w:top w:val="none" w:sz="0" w:space="0" w:color="auto"/>
        <w:left w:val="none" w:sz="0" w:space="0" w:color="auto"/>
        <w:bottom w:val="none" w:sz="0" w:space="0" w:color="auto"/>
        <w:right w:val="none" w:sz="0" w:space="0" w:color="auto"/>
      </w:divBdr>
      <w:divsChild>
        <w:div w:id="1637220854">
          <w:marLeft w:val="547"/>
          <w:marRight w:val="0"/>
          <w:marTop w:val="91"/>
          <w:marBottom w:val="0"/>
          <w:divBdr>
            <w:top w:val="none" w:sz="0" w:space="0" w:color="auto"/>
            <w:left w:val="none" w:sz="0" w:space="0" w:color="auto"/>
            <w:bottom w:val="none" w:sz="0" w:space="0" w:color="auto"/>
            <w:right w:val="none" w:sz="0" w:space="0" w:color="auto"/>
          </w:divBdr>
        </w:div>
        <w:div w:id="1804499307">
          <w:marLeft w:val="547"/>
          <w:marRight w:val="0"/>
          <w:marTop w:val="91"/>
          <w:marBottom w:val="0"/>
          <w:divBdr>
            <w:top w:val="none" w:sz="0" w:space="0" w:color="auto"/>
            <w:left w:val="none" w:sz="0" w:space="0" w:color="auto"/>
            <w:bottom w:val="none" w:sz="0" w:space="0" w:color="auto"/>
            <w:right w:val="none" w:sz="0" w:space="0" w:color="auto"/>
          </w:divBdr>
        </w:div>
        <w:div w:id="1450585707">
          <w:marLeft w:val="547"/>
          <w:marRight w:val="0"/>
          <w:marTop w:val="91"/>
          <w:marBottom w:val="0"/>
          <w:divBdr>
            <w:top w:val="none" w:sz="0" w:space="0" w:color="auto"/>
            <w:left w:val="none" w:sz="0" w:space="0" w:color="auto"/>
            <w:bottom w:val="none" w:sz="0" w:space="0" w:color="auto"/>
            <w:right w:val="none" w:sz="0" w:space="0" w:color="auto"/>
          </w:divBdr>
        </w:div>
        <w:div w:id="1654748244">
          <w:marLeft w:val="547"/>
          <w:marRight w:val="0"/>
          <w:marTop w:val="91"/>
          <w:marBottom w:val="0"/>
          <w:divBdr>
            <w:top w:val="none" w:sz="0" w:space="0" w:color="auto"/>
            <w:left w:val="none" w:sz="0" w:space="0" w:color="auto"/>
            <w:bottom w:val="none" w:sz="0" w:space="0" w:color="auto"/>
            <w:right w:val="none" w:sz="0" w:space="0" w:color="auto"/>
          </w:divBdr>
        </w:div>
        <w:div w:id="1334801339">
          <w:marLeft w:val="547"/>
          <w:marRight w:val="0"/>
          <w:marTop w:val="91"/>
          <w:marBottom w:val="0"/>
          <w:divBdr>
            <w:top w:val="none" w:sz="0" w:space="0" w:color="auto"/>
            <w:left w:val="none" w:sz="0" w:space="0" w:color="auto"/>
            <w:bottom w:val="none" w:sz="0" w:space="0" w:color="auto"/>
            <w:right w:val="none" w:sz="0" w:space="0" w:color="auto"/>
          </w:divBdr>
        </w:div>
        <w:div w:id="523785745">
          <w:marLeft w:val="547"/>
          <w:marRight w:val="0"/>
          <w:marTop w:val="91"/>
          <w:marBottom w:val="0"/>
          <w:divBdr>
            <w:top w:val="none" w:sz="0" w:space="0" w:color="auto"/>
            <w:left w:val="none" w:sz="0" w:space="0" w:color="auto"/>
            <w:bottom w:val="none" w:sz="0" w:space="0" w:color="auto"/>
            <w:right w:val="none" w:sz="0" w:space="0" w:color="auto"/>
          </w:divBdr>
        </w:div>
        <w:div w:id="595556224">
          <w:marLeft w:val="547"/>
          <w:marRight w:val="0"/>
          <w:marTop w:val="91"/>
          <w:marBottom w:val="0"/>
          <w:divBdr>
            <w:top w:val="none" w:sz="0" w:space="0" w:color="auto"/>
            <w:left w:val="none" w:sz="0" w:space="0" w:color="auto"/>
            <w:bottom w:val="none" w:sz="0" w:space="0" w:color="auto"/>
            <w:right w:val="none" w:sz="0" w:space="0" w:color="auto"/>
          </w:divBdr>
        </w:div>
      </w:divsChild>
    </w:div>
    <w:div w:id="440224974">
      <w:bodyDiv w:val="1"/>
      <w:marLeft w:val="0"/>
      <w:marRight w:val="0"/>
      <w:marTop w:val="0"/>
      <w:marBottom w:val="0"/>
      <w:divBdr>
        <w:top w:val="none" w:sz="0" w:space="0" w:color="auto"/>
        <w:left w:val="none" w:sz="0" w:space="0" w:color="auto"/>
        <w:bottom w:val="none" w:sz="0" w:space="0" w:color="auto"/>
        <w:right w:val="none" w:sz="0" w:space="0" w:color="auto"/>
      </w:divBdr>
    </w:div>
    <w:div w:id="447505682">
      <w:bodyDiv w:val="1"/>
      <w:marLeft w:val="0"/>
      <w:marRight w:val="0"/>
      <w:marTop w:val="0"/>
      <w:marBottom w:val="0"/>
      <w:divBdr>
        <w:top w:val="none" w:sz="0" w:space="0" w:color="auto"/>
        <w:left w:val="none" w:sz="0" w:space="0" w:color="auto"/>
        <w:bottom w:val="none" w:sz="0" w:space="0" w:color="auto"/>
        <w:right w:val="none" w:sz="0" w:space="0" w:color="auto"/>
      </w:divBdr>
    </w:div>
    <w:div w:id="463084513">
      <w:bodyDiv w:val="1"/>
      <w:marLeft w:val="0"/>
      <w:marRight w:val="0"/>
      <w:marTop w:val="0"/>
      <w:marBottom w:val="0"/>
      <w:divBdr>
        <w:top w:val="none" w:sz="0" w:space="0" w:color="auto"/>
        <w:left w:val="none" w:sz="0" w:space="0" w:color="auto"/>
        <w:bottom w:val="none" w:sz="0" w:space="0" w:color="auto"/>
        <w:right w:val="none" w:sz="0" w:space="0" w:color="auto"/>
      </w:divBdr>
    </w:div>
    <w:div w:id="514882915">
      <w:bodyDiv w:val="1"/>
      <w:marLeft w:val="0"/>
      <w:marRight w:val="0"/>
      <w:marTop w:val="0"/>
      <w:marBottom w:val="0"/>
      <w:divBdr>
        <w:top w:val="none" w:sz="0" w:space="0" w:color="auto"/>
        <w:left w:val="none" w:sz="0" w:space="0" w:color="auto"/>
        <w:bottom w:val="none" w:sz="0" w:space="0" w:color="auto"/>
        <w:right w:val="none" w:sz="0" w:space="0" w:color="auto"/>
      </w:divBdr>
    </w:div>
    <w:div w:id="523709216">
      <w:bodyDiv w:val="1"/>
      <w:marLeft w:val="0"/>
      <w:marRight w:val="0"/>
      <w:marTop w:val="0"/>
      <w:marBottom w:val="0"/>
      <w:divBdr>
        <w:top w:val="none" w:sz="0" w:space="0" w:color="auto"/>
        <w:left w:val="none" w:sz="0" w:space="0" w:color="auto"/>
        <w:bottom w:val="none" w:sz="0" w:space="0" w:color="auto"/>
        <w:right w:val="none" w:sz="0" w:space="0" w:color="auto"/>
      </w:divBdr>
    </w:div>
    <w:div w:id="556473531">
      <w:bodyDiv w:val="1"/>
      <w:marLeft w:val="0"/>
      <w:marRight w:val="0"/>
      <w:marTop w:val="0"/>
      <w:marBottom w:val="0"/>
      <w:divBdr>
        <w:top w:val="none" w:sz="0" w:space="0" w:color="auto"/>
        <w:left w:val="none" w:sz="0" w:space="0" w:color="auto"/>
        <w:bottom w:val="none" w:sz="0" w:space="0" w:color="auto"/>
        <w:right w:val="none" w:sz="0" w:space="0" w:color="auto"/>
      </w:divBdr>
    </w:div>
    <w:div w:id="559368727">
      <w:bodyDiv w:val="1"/>
      <w:marLeft w:val="0"/>
      <w:marRight w:val="0"/>
      <w:marTop w:val="0"/>
      <w:marBottom w:val="0"/>
      <w:divBdr>
        <w:top w:val="none" w:sz="0" w:space="0" w:color="auto"/>
        <w:left w:val="none" w:sz="0" w:space="0" w:color="auto"/>
        <w:bottom w:val="none" w:sz="0" w:space="0" w:color="auto"/>
        <w:right w:val="none" w:sz="0" w:space="0" w:color="auto"/>
      </w:divBdr>
      <w:divsChild>
        <w:div w:id="614092339">
          <w:marLeft w:val="547"/>
          <w:marRight w:val="0"/>
          <w:marTop w:val="96"/>
          <w:marBottom w:val="0"/>
          <w:divBdr>
            <w:top w:val="none" w:sz="0" w:space="0" w:color="auto"/>
            <w:left w:val="none" w:sz="0" w:space="0" w:color="auto"/>
            <w:bottom w:val="none" w:sz="0" w:space="0" w:color="auto"/>
            <w:right w:val="none" w:sz="0" w:space="0" w:color="auto"/>
          </w:divBdr>
        </w:div>
      </w:divsChild>
    </w:div>
    <w:div w:id="559749138">
      <w:bodyDiv w:val="1"/>
      <w:marLeft w:val="0"/>
      <w:marRight w:val="0"/>
      <w:marTop w:val="0"/>
      <w:marBottom w:val="0"/>
      <w:divBdr>
        <w:top w:val="none" w:sz="0" w:space="0" w:color="auto"/>
        <w:left w:val="none" w:sz="0" w:space="0" w:color="auto"/>
        <w:bottom w:val="none" w:sz="0" w:space="0" w:color="auto"/>
        <w:right w:val="none" w:sz="0" w:space="0" w:color="auto"/>
      </w:divBdr>
    </w:div>
    <w:div w:id="565646638">
      <w:bodyDiv w:val="1"/>
      <w:marLeft w:val="0"/>
      <w:marRight w:val="0"/>
      <w:marTop w:val="0"/>
      <w:marBottom w:val="0"/>
      <w:divBdr>
        <w:top w:val="none" w:sz="0" w:space="0" w:color="auto"/>
        <w:left w:val="none" w:sz="0" w:space="0" w:color="auto"/>
        <w:bottom w:val="none" w:sz="0" w:space="0" w:color="auto"/>
        <w:right w:val="none" w:sz="0" w:space="0" w:color="auto"/>
      </w:divBdr>
    </w:div>
    <w:div w:id="618609289">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16315821">
      <w:bodyDiv w:val="1"/>
      <w:marLeft w:val="0"/>
      <w:marRight w:val="0"/>
      <w:marTop w:val="0"/>
      <w:marBottom w:val="0"/>
      <w:divBdr>
        <w:top w:val="none" w:sz="0" w:space="0" w:color="auto"/>
        <w:left w:val="none" w:sz="0" w:space="0" w:color="auto"/>
        <w:bottom w:val="none" w:sz="0" w:space="0" w:color="auto"/>
        <w:right w:val="none" w:sz="0" w:space="0" w:color="auto"/>
      </w:divBdr>
      <w:divsChild>
        <w:div w:id="1396734952">
          <w:marLeft w:val="0"/>
          <w:marRight w:val="0"/>
          <w:marTop w:val="0"/>
          <w:marBottom w:val="0"/>
          <w:divBdr>
            <w:top w:val="none" w:sz="0" w:space="0" w:color="auto"/>
            <w:left w:val="none" w:sz="0" w:space="0" w:color="auto"/>
            <w:bottom w:val="none" w:sz="0" w:space="0" w:color="auto"/>
            <w:right w:val="none" w:sz="0" w:space="0" w:color="auto"/>
          </w:divBdr>
        </w:div>
      </w:divsChild>
    </w:div>
    <w:div w:id="822352803">
      <w:bodyDiv w:val="1"/>
      <w:marLeft w:val="0"/>
      <w:marRight w:val="0"/>
      <w:marTop w:val="0"/>
      <w:marBottom w:val="0"/>
      <w:divBdr>
        <w:top w:val="none" w:sz="0" w:space="0" w:color="auto"/>
        <w:left w:val="none" w:sz="0" w:space="0" w:color="auto"/>
        <w:bottom w:val="none" w:sz="0" w:space="0" w:color="auto"/>
        <w:right w:val="none" w:sz="0" w:space="0" w:color="auto"/>
      </w:divBdr>
      <w:divsChild>
        <w:div w:id="320474472">
          <w:marLeft w:val="547"/>
          <w:marRight w:val="0"/>
          <w:marTop w:val="91"/>
          <w:marBottom w:val="0"/>
          <w:divBdr>
            <w:top w:val="none" w:sz="0" w:space="0" w:color="auto"/>
            <w:left w:val="none" w:sz="0" w:space="0" w:color="auto"/>
            <w:bottom w:val="none" w:sz="0" w:space="0" w:color="auto"/>
            <w:right w:val="none" w:sz="0" w:space="0" w:color="auto"/>
          </w:divBdr>
        </w:div>
        <w:div w:id="1134559477">
          <w:marLeft w:val="547"/>
          <w:marRight w:val="0"/>
          <w:marTop w:val="91"/>
          <w:marBottom w:val="0"/>
          <w:divBdr>
            <w:top w:val="none" w:sz="0" w:space="0" w:color="auto"/>
            <w:left w:val="none" w:sz="0" w:space="0" w:color="auto"/>
            <w:bottom w:val="none" w:sz="0" w:space="0" w:color="auto"/>
            <w:right w:val="none" w:sz="0" w:space="0" w:color="auto"/>
          </w:divBdr>
        </w:div>
        <w:div w:id="654915447">
          <w:marLeft w:val="547"/>
          <w:marRight w:val="0"/>
          <w:marTop w:val="91"/>
          <w:marBottom w:val="0"/>
          <w:divBdr>
            <w:top w:val="none" w:sz="0" w:space="0" w:color="auto"/>
            <w:left w:val="none" w:sz="0" w:space="0" w:color="auto"/>
            <w:bottom w:val="none" w:sz="0" w:space="0" w:color="auto"/>
            <w:right w:val="none" w:sz="0" w:space="0" w:color="auto"/>
          </w:divBdr>
        </w:div>
        <w:div w:id="1934312714">
          <w:marLeft w:val="547"/>
          <w:marRight w:val="0"/>
          <w:marTop w:val="91"/>
          <w:marBottom w:val="0"/>
          <w:divBdr>
            <w:top w:val="none" w:sz="0" w:space="0" w:color="auto"/>
            <w:left w:val="none" w:sz="0" w:space="0" w:color="auto"/>
            <w:bottom w:val="none" w:sz="0" w:space="0" w:color="auto"/>
            <w:right w:val="none" w:sz="0" w:space="0" w:color="auto"/>
          </w:divBdr>
        </w:div>
      </w:divsChild>
    </w:div>
    <w:div w:id="826746726">
      <w:bodyDiv w:val="1"/>
      <w:marLeft w:val="0"/>
      <w:marRight w:val="0"/>
      <w:marTop w:val="0"/>
      <w:marBottom w:val="0"/>
      <w:divBdr>
        <w:top w:val="none" w:sz="0" w:space="0" w:color="auto"/>
        <w:left w:val="none" w:sz="0" w:space="0" w:color="auto"/>
        <w:bottom w:val="none" w:sz="0" w:space="0" w:color="auto"/>
        <w:right w:val="none" w:sz="0" w:space="0" w:color="auto"/>
      </w:divBdr>
    </w:div>
    <w:div w:id="857548964">
      <w:bodyDiv w:val="1"/>
      <w:marLeft w:val="0"/>
      <w:marRight w:val="0"/>
      <w:marTop w:val="0"/>
      <w:marBottom w:val="0"/>
      <w:divBdr>
        <w:top w:val="none" w:sz="0" w:space="0" w:color="auto"/>
        <w:left w:val="none" w:sz="0" w:space="0" w:color="auto"/>
        <w:bottom w:val="none" w:sz="0" w:space="0" w:color="auto"/>
        <w:right w:val="none" w:sz="0" w:space="0" w:color="auto"/>
      </w:divBdr>
    </w:div>
    <w:div w:id="871116756">
      <w:bodyDiv w:val="1"/>
      <w:marLeft w:val="0"/>
      <w:marRight w:val="0"/>
      <w:marTop w:val="0"/>
      <w:marBottom w:val="0"/>
      <w:divBdr>
        <w:top w:val="none" w:sz="0" w:space="0" w:color="auto"/>
        <w:left w:val="none" w:sz="0" w:space="0" w:color="auto"/>
        <w:bottom w:val="none" w:sz="0" w:space="0" w:color="auto"/>
        <w:right w:val="none" w:sz="0" w:space="0" w:color="auto"/>
      </w:divBdr>
    </w:div>
    <w:div w:id="883444057">
      <w:bodyDiv w:val="1"/>
      <w:marLeft w:val="0"/>
      <w:marRight w:val="0"/>
      <w:marTop w:val="0"/>
      <w:marBottom w:val="0"/>
      <w:divBdr>
        <w:top w:val="none" w:sz="0" w:space="0" w:color="auto"/>
        <w:left w:val="none" w:sz="0" w:space="0" w:color="auto"/>
        <w:bottom w:val="none" w:sz="0" w:space="0" w:color="auto"/>
        <w:right w:val="none" w:sz="0" w:space="0" w:color="auto"/>
      </w:divBdr>
      <w:divsChild>
        <w:div w:id="1172448032">
          <w:marLeft w:val="547"/>
          <w:marRight w:val="0"/>
          <w:marTop w:val="91"/>
          <w:marBottom w:val="0"/>
          <w:divBdr>
            <w:top w:val="none" w:sz="0" w:space="0" w:color="auto"/>
            <w:left w:val="none" w:sz="0" w:space="0" w:color="auto"/>
            <w:bottom w:val="none" w:sz="0" w:space="0" w:color="auto"/>
            <w:right w:val="none" w:sz="0" w:space="0" w:color="auto"/>
          </w:divBdr>
        </w:div>
        <w:div w:id="736367425">
          <w:marLeft w:val="547"/>
          <w:marRight w:val="0"/>
          <w:marTop w:val="91"/>
          <w:marBottom w:val="0"/>
          <w:divBdr>
            <w:top w:val="none" w:sz="0" w:space="0" w:color="auto"/>
            <w:left w:val="none" w:sz="0" w:space="0" w:color="auto"/>
            <w:bottom w:val="none" w:sz="0" w:space="0" w:color="auto"/>
            <w:right w:val="none" w:sz="0" w:space="0" w:color="auto"/>
          </w:divBdr>
        </w:div>
        <w:div w:id="1708330059">
          <w:marLeft w:val="547"/>
          <w:marRight w:val="0"/>
          <w:marTop w:val="91"/>
          <w:marBottom w:val="0"/>
          <w:divBdr>
            <w:top w:val="none" w:sz="0" w:space="0" w:color="auto"/>
            <w:left w:val="none" w:sz="0" w:space="0" w:color="auto"/>
            <w:bottom w:val="none" w:sz="0" w:space="0" w:color="auto"/>
            <w:right w:val="none" w:sz="0" w:space="0" w:color="auto"/>
          </w:divBdr>
        </w:div>
      </w:divsChild>
    </w:div>
    <w:div w:id="903222335">
      <w:bodyDiv w:val="1"/>
      <w:marLeft w:val="0"/>
      <w:marRight w:val="0"/>
      <w:marTop w:val="0"/>
      <w:marBottom w:val="0"/>
      <w:divBdr>
        <w:top w:val="none" w:sz="0" w:space="0" w:color="auto"/>
        <w:left w:val="none" w:sz="0" w:space="0" w:color="auto"/>
        <w:bottom w:val="none" w:sz="0" w:space="0" w:color="auto"/>
        <w:right w:val="none" w:sz="0" w:space="0" w:color="auto"/>
      </w:divBdr>
    </w:div>
    <w:div w:id="903956944">
      <w:bodyDiv w:val="1"/>
      <w:marLeft w:val="0"/>
      <w:marRight w:val="0"/>
      <w:marTop w:val="0"/>
      <w:marBottom w:val="0"/>
      <w:divBdr>
        <w:top w:val="none" w:sz="0" w:space="0" w:color="auto"/>
        <w:left w:val="none" w:sz="0" w:space="0" w:color="auto"/>
        <w:bottom w:val="none" w:sz="0" w:space="0" w:color="auto"/>
        <w:right w:val="none" w:sz="0" w:space="0" w:color="auto"/>
      </w:divBdr>
    </w:div>
    <w:div w:id="905339417">
      <w:bodyDiv w:val="1"/>
      <w:marLeft w:val="0"/>
      <w:marRight w:val="0"/>
      <w:marTop w:val="0"/>
      <w:marBottom w:val="0"/>
      <w:divBdr>
        <w:top w:val="none" w:sz="0" w:space="0" w:color="auto"/>
        <w:left w:val="none" w:sz="0" w:space="0" w:color="auto"/>
        <w:bottom w:val="none" w:sz="0" w:space="0" w:color="auto"/>
        <w:right w:val="none" w:sz="0" w:space="0" w:color="auto"/>
      </w:divBdr>
    </w:div>
    <w:div w:id="922839155">
      <w:bodyDiv w:val="1"/>
      <w:marLeft w:val="0"/>
      <w:marRight w:val="0"/>
      <w:marTop w:val="0"/>
      <w:marBottom w:val="0"/>
      <w:divBdr>
        <w:top w:val="none" w:sz="0" w:space="0" w:color="auto"/>
        <w:left w:val="none" w:sz="0" w:space="0" w:color="auto"/>
        <w:bottom w:val="none" w:sz="0" w:space="0" w:color="auto"/>
        <w:right w:val="none" w:sz="0" w:space="0" w:color="auto"/>
      </w:divBdr>
      <w:divsChild>
        <w:div w:id="2012292153">
          <w:marLeft w:val="0"/>
          <w:marRight w:val="0"/>
          <w:marTop w:val="0"/>
          <w:marBottom w:val="0"/>
          <w:divBdr>
            <w:top w:val="none" w:sz="0" w:space="0" w:color="auto"/>
            <w:left w:val="none" w:sz="0" w:space="0" w:color="auto"/>
            <w:bottom w:val="none" w:sz="0" w:space="0" w:color="auto"/>
            <w:right w:val="none" w:sz="0" w:space="0" w:color="auto"/>
          </w:divBdr>
          <w:divsChild>
            <w:div w:id="315381663">
              <w:marLeft w:val="0"/>
              <w:marRight w:val="0"/>
              <w:marTop w:val="0"/>
              <w:marBottom w:val="0"/>
              <w:divBdr>
                <w:top w:val="none" w:sz="0" w:space="0" w:color="auto"/>
                <w:left w:val="none" w:sz="0" w:space="0" w:color="auto"/>
                <w:bottom w:val="none" w:sz="0" w:space="0" w:color="auto"/>
                <w:right w:val="none" w:sz="0" w:space="0" w:color="auto"/>
              </w:divBdr>
              <w:divsChild>
                <w:div w:id="2078168134">
                  <w:marLeft w:val="0"/>
                  <w:marRight w:val="0"/>
                  <w:marTop w:val="0"/>
                  <w:marBottom w:val="0"/>
                  <w:divBdr>
                    <w:top w:val="none" w:sz="0" w:space="0" w:color="auto"/>
                    <w:left w:val="none" w:sz="0" w:space="0" w:color="auto"/>
                    <w:bottom w:val="none" w:sz="0" w:space="0" w:color="auto"/>
                    <w:right w:val="none" w:sz="0" w:space="0" w:color="auto"/>
                  </w:divBdr>
                </w:div>
              </w:divsChild>
            </w:div>
            <w:div w:id="2146195118">
              <w:marLeft w:val="0"/>
              <w:marRight w:val="0"/>
              <w:marTop w:val="0"/>
              <w:marBottom w:val="0"/>
              <w:divBdr>
                <w:top w:val="none" w:sz="0" w:space="0" w:color="auto"/>
                <w:left w:val="none" w:sz="0" w:space="0" w:color="auto"/>
                <w:bottom w:val="none" w:sz="0" w:space="0" w:color="auto"/>
                <w:right w:val="none" w:sz="0" w:space="0" w:color="auto"/>
              </w:divBdr>
              <w:divsChild>
                <w:div w:id="96947616">
                  <w:marLeft w:val="0"/>
                  <w:marRight w:val="0"/>
                  <w:marTop w:val="0"/>
                  <w:marBottom w:val="0"/>
                  <w:divBdr>
                    <w:top w:val="none" w:sz="0" w:space="0" w:color="auto"/>
                    <w:left w:val="none" w:sz="0" w:space="0" w:color="auto"/>
                    <w:bottom w:val="none" w:sz="0" w:space="0" w:color="auto"/>
                    <w:right w:val="none" w:sz="0" w:space="0" w:color="auto"/>
                  </w:divBdr>
                </w:div>
              </w:divsChild>
            </w:div>
            <w:div w:id="107749261">
              <w:marLeft w:val="0"/>
              <w:marRight w:val="0"/>
              <w:marTop w:val="0"/>
              <w:marBottom w:val="0"/>
              <w:divBdr>
                <w:top w:val="none" w:sz="0" w:space="0" w:color="auto"/>
                <w:left w:val="none" w:sz="0" w:space="0" w:color="auto"/>
                <w:bottom w:val="none" w:sz="0" w:space="0" w:color="auto"/>
                <w:right w:val="none" w:sz="0" w:space="0" w:color="auto"/>
              </w:divBdr>
              <w:divsChild>
                <w:div w:id="678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9629">
      <w:bodyDiv w:val="1"/>
      <w:marLeft w:val="0"/>
      <w:marRight w:val="0"/>
      <w:marTop w:val="0"/>
      <w:marBottom w:val="0"/>
      <w:divBdr>
        <w:top w:val="none" w:sz="0" w:space="0" w:color="auto"/>
        <w:left w:val="none" w:sz="0" w:space="0" w:color="auto"/>
        <w:bottom w:val="none" w:sz="0" w:space="0" w:color="auto"/>
        <w:right w:val="none" w:sz="0" w:space="0" w:color="auto"/>
      </w:divBdr>
    </w:div>
    <w:div w:id="942299298">
      <w:bodyDiv w:val="1"/>
      <w:marLeft w:val="0"/>
      <w:marRight w:val="0"/>
      <w:marTop w:val="0"/>
      <w:marBottom w:val="0"/>
      <w:divBdr>
        <w:top w:val="none" w:sz="0" w:space="0" w:color="auto"/>
        <w:left w:val="none" w:sz="0" w:space="0" w:color="auto"/>
        <w:bottom w:val="none" w:sz="0" w:space="0" w:color="auto"/>
        <w:right w:val="none" w:sz="0" w:space="0" w:color="auto"/>
      </w:divBdr>
    </w:div>
    <w:div w:id="949820870">
      <w:bodyDiv w:val="1"/>
      <w:marLeft w:val="0"/>
      <w:marRight w:val="0"/>
      <w:marTop w:val="0"/>
      <w:marBottom w:val="0"/>
      <w:divBdr>
        <w:top w:val="none" w:sz="0" w:space="0" w:color="auto"/>
        <w:left w:val="none" w:sz="0" w:space="0" w:color="auto"/>
        <w:bottom w:val="none" w:sz="0" w:space="0" w:color="auto"/>
        <w:right w:val="none" w:sz="0" w:space="0" w:color="auto"/>
      </w:divBdr>
      <w:divsChild>
        <w:div w:id="1400323628">
          <w:marLeft w:val="547"/>
          <w:marRight w:val="0"/>
          <w:marTop w:val="86"/>
          <w:marBottom w:val="0"/>
          <w:divBdr>
            <w:top w:val="none" w:sz="0" w:space="0" w:color="auto"/>
            <w:left w:val="none" w:sz="0" w:space="0" w:color="auto"/>
            <w:bottom w:val="none" w:sz="0" w:space="0" w:color="auto"/>
            <w:right w:val="none" w:sz="0" w:space="0" w:color="auto"/>
          </w:divBdr>
        </w:div>
        <w:div w:id="1002777188">
          <w:marLeft w:val="547"/>
          <w:marRight w:val="0"/>
          <w:marTop w:val="86"/>
          <w:marBottom w:val="0"/>
          <w:divBdr>
            <w:top w:val="none" w:sz="0" w:space="0" w:color="auto"/>
            <w:left w:val="none" w:sz="0" w:space="0" w:color="auto"/>
            <w:bottom w:val="none" w:sz="0" w:space="0" w:color="auto"/>
            <w:right w:val="none" w:sz="0" w:space="0" w:color="auto"/>
          </w:divBdr>
        </w:div>
        <w:div w:id="1385830833">
          <w:marLeft w:val="547"/>
          <w:marRight w:val="0"/>
          <w:marTop w:val="86"/>
          <w:marBottom w:val="0"/>
          <w:divBdr>
            <w:top w:val="none" w:sz="0" w:space="0" w:color="auto"/>
            <w:left w:val="none" w:sz="0" w:space="0" w:color="auto"/>
            <w:bottom w:val="none" w:sz="0" w:space="0" w:color="auto"/>
            <w:right w:val="none" w:sz="0" w:space="0" w:color="auto"/>
          </w:divBdr>
        </w:div>
      </w:divsChild>
    </w:div>
    <w:div w:id="1000036226">
      <w:bodyDiv w:val="1"/>
      <w:marLeft w:val="0"/>
      <w:marRight w:val="0"/>
      <w:marTop w:val="0"/>
      <w:marBottom w:val="0"/>
      <w:divBdr>
        <w:top w:val="none" w:sz="0" w:space="0" w:color="auto"/>
        <w:left w:val="none" w:sz="0" w:space="0" w:color="auto"/>
        <w:bottom w:val="none" w:sz="0" w:space="0" w:color="auto"/>
        <w:right w:val="none" w:sz="0" w:space="0" w:color="auto"/>
      </w:divBdr>
      <w:divsChild>
        <w:div w:id="2127658257">
          <w:marLeft w:val="446"/>
          <w:marRight w:val="0"/>
          <w:marTop w:val="101"/>
          <w:marBottom w:val="0"/>
          <w:divBdr>
            <w:top w:val="none" w:sz="0" w:space="0" w:color="auto"/>
            <w:left w:val="none" w:sz="0" w:space="0" w:color="auto"/>
            <w:bottom w:val="none" w:sz="0" w:space="0" w:color="auto"/>
            <w:right w:val="none" w:sz="0" w:space="0" w:color="auto"/>
          </w:divBdr>
        </w:div>
        <w:div w:id="828791028">
          <w:marLeft w:val="446"/>
          <w:marRight w:val="0"/>
          <w:marTop w:val="101"/>
          <w:marBottom w:val="0"/>
          <w:divBdr>
            <w:top w:val="none" w:sz="0" w:space="0" w:color="auto"/>
            <w:left w:val="none" w:sz="0" w:space="0" w:color="auto"/>
            <w:bottom w:val="none" w:sz="0" w:space="0" w:color="auto"/>
            <w:right w:val="none" w:sz="0" w:space="0" w:color="auto"/>
          </w:divBdr>
        </w:div>
        <w:div w:id="648754585">
          <w:marLeft w:val="446"/>
          <w:marRight w:val="0"/>
          <w:marTop w:val="101"/>
          <w:marBottom w:val="0"/>
          <w:divBdr>
            <w:top w:val="none" w:sz="0" w:space="0" w:color="auto"/>
            <w:left w:val="none" w:sz="0" w:space="0" w:color="auto"/>
            <w:bottom w:val="none" w:sz="0" w:space="0" w:color="auto"/>
            <w:right w:val="none" w:sz="0" w:space="0" w:color="auto"/>
          </w:divBdr>
        </w:div>
      </w:divsChild>
    </w:div>
    <w:div w:id="1000694215">
      <w:bodyDiv w:val="1"/>
      <w:marLeft w:val="0"/>
      <w:marRight w:val="0"/>
      <w:marTop w:val="0"/>
      <w:marBottom w:val="0"/>
      <w:divBdr>
        <w:top w:val="none" w:sz="0" w:space="0" w:color="auto"/>
        <w:left w:val="none" w:sz="0" w:space="0" w:color="auto"/>
        <w:bottom w:val="none" w:sz="0" w:space="0" w:color="auto"/>
        <w:right w:val="none" w:sz="0" w:space="0" w:color="auto"/>
      </w:divBdr>
      <w:divsChild>
        <w:div w:id="905457565">
          <w:marLeft w:val="547"/>
          <w:marRight w:val="0"/>
          <w:marTop w:val="96"/>
          <w:marBottom w:val="0"/>
          <w:divBdr>
            <w:top w:val="none" w:sz="0" w:space="0" w:color="auto"/>
            <w:left w:val="none" w:sz="0" w:space="0" w:color="auto"/>
            <w:bottom w:val="none" w:sz="0" w:space="0" w:color="auto"/>
            <w:right w:val="none" w:sz="0" w:space="0" w:color="auto"/>
          </w:divBdr>
        </w:div>
      </w:divsChild>
    </w:div>
    <w:div w:id="1016348707">
      <w:bodyDiv w:val="1"/>
      <w:marLeft w:val="0"/>
      <w:marRight w:val="0"/>
      <w:marTop w:val="0"/>
      <w:marBottom w:val="0"/>
      <w:divBdr>
        <w:top w:val="none" w:sz="0" w:space="0" w:color="auto"/>
        <w:left w:val="none" w:sz="0" w:space="0" w:color="auto"/>
        <w:bottom w:val="none" w:sz="0" w:space="0" w:color="auto"/>
        <w:right w:val="none" w:sz="0" w:space="0" w:color="auto"/>
      </w:divBdr>
    </w:div>
    <w:div w:id="1032421218">
      <w:bodyDiv w:val="1"/>
      <w:marLeft w:val="0"/>
      <w:marRight w:val="0"/>
      <w:marTop w:val="0"/>
      <w:marBottom w:val="0"/>
      <w:divBdr>
        <w:top w:val="none" w:sz="0" w:space="0" w:color="auto"/>
        <w:left w:val="none" w:sz="0" w:space="0" w:color="auto"/>
        <w:bottom w:val="none" w:sz="0" w:space="0" w:color="auto"/>
        <w:right w:val="none" w:sz="0" w:space="0" w:color="auto"/>
      </w:divBdr>
      <w:divsChild>
        <w:div w:id="1993868250">
          <w:marLeft w:val="0"/>
          <w:marRight w:val="0"/>
          <w:marTop w:val="0"/>
          <w:marBottom w:val="0"/>
          <w:divBdr>
            <w:top w:val="none" w:sz="0" w:space="0" w:color="auto"/>
            <w:left w:val="none" w:sz="0" w:space="0" w:color="auto"/>
            <w:bottom w:val="none" w:sz="0" w:space="0" w:color="auto"/>
            <w:right w:val="none" w:sz="0" w:space="0" w:color="auto"/>
          </w:divBdr>
        </w:div>
      </w:divsChild>
    </w:div>
    <w:div w:id="1042900375">
      <w:bodyDiv w:val="1"/>
      <w:marLeft w:val="0"/>
      <w:marRight w:val="0"/>
      <w:marTop w:val="0"/>
      <w:marBottom w:val="0"/>
      <w:divBdr>
        <w:top w:val="none" w:sz="0" w:space="0" w:color="auto"/>
        <w:left w:val="none" w:sz="0" w:space="0" w:color="auto"/>
        <w:bottom w:val="none" w:sz="0" w:space="0" w:color="auto"/>
        <w:right w:val="none" w:sz="0" w:space="0" w:color="auto"/>
      </w:divBdr>
    </w:div>
    <w:div w:id="1096437892">
      <w:bodyDiv w:val="1"/>
      <w:marLeft w:val="0"/>
      <w:marRight w:val="0"/>
      <w:marTop w:val="0"/>
      <w:marBottom w:val="0"/>
      <w:divBdr>
        <w:top w:val="none" w:sz="0" w:space="0" w:color="auto"/>
        <w:left w:val="none" w:sz="0" w:space="0" w:color="auto"/>
        <w:bottom w:val="none" w:sz="0" w:space="0" w:color="auto"/>
        <w:right w:val="none" w:sz="0" w:space="0" w:color="auto"/>
      </w:divBdr>
      <w:divsChild>
        <w:div w:id="1588003725">
          <w:marLeft w:val="547"/>
          <w:marRight w:val="0"/>
          <w:marTop w:val="91"/>
          <w:marBottom w:val="0"/>
          <w:divBdr>
            <w:top w:val="none" w:sz="0" w:space="0" w:color="auto"/>
            <w:left w:val="none" w:sz="0" w:space="0" w:color="auto"/>
            <w:bottom w:val="none" w:sz="0" w:space="0" w:color="auto"/>
            <w:right w:val="none" w:sz="0" w:space="0" w:color="auto"/>
          </w:divBdr>
        </w:div>
      </w:divsChild>
    </w:div>
    <w:div w:id="1107893526">
      <w:bodyDiv w:val="1"/>
      <w:marLeft w:val="0"/>
      <w:marRight w:val="0"/>
      <w:marTop w:val="0"/>
      <w:marBottom w:val="0"/>
      <w:divBdr>
        <w:top w:val="none" w:sz="0" w:space="0" w:color="auto"/>
        <w:left w:val="none" w:sz="0" w:space="0" w:color="auto"/>
        <w:bottom w:val="none" w:sz="0" w:space="0" w:color="auto"/>
        <w:right w:val="none" w:sz="0" w:space="0" w:color="auto"/>
      </w:divBdr>
    </w:div>
    <w:div w:id="1145195392">
      <w:bodyDiv w:val="1"/>
      <w:marLeft w:val="0"/>
      <w:marRight w:val="0"/>
      <w:marTop w:val="0"/>
      <w:marBottom w:val="0"/>
      <w:divBdr>
        <w:top w:val="none" w:sz="0" w:space="0" w:color="auto"/>
        <w:left w:val="none" w:sz="0" w:space="0" w:color="auto"/>
        <w:bottom w:val="none" w:sz="0" w:space="0" w:color="auto"/>
        <w:right w:val="none" w:sz="0" w:space="0" w:color="auto"/>
      </w:divBdr>
    </w:div>
    <w:div w:id="1187450223">
      <w:bodyDiv w:val="1"/>
      <w:marLeft w:val="0"/>
      <w:marRight w:val="0"/>
      <w:marTop w:val="0"/>
      <w:marBottom w:val="0"/>
      <w:divBdr>
        <w:top w:val="none" w:sz="0" w:space="0" w:color="auto"/>
        <w:left w:val="none" w:sz="0" w:space="0" w:color="auto"/>
        <w:bottom w:val="none" w:sz="0" w:space="0" w:color="auto"/>
        <w:right w:val="none" w:sz="0" w:space="0" w:color="auto"/>
      </w:divBdr>
    </w:div>
    <w:div w:id="1270624215">
      <w:bodyDiv w:val="1"/>
      <w:marLeft w:val="0"/>
      <w:marRight w:val="0"/>
      <w:marTop w:val="0"/>
      <w:marBottom w:val="0"/>
      <w:divBdr>
        <w:top w:val="none" w:sz="0" w:space="0" w:color="auto"/>
        <w:left w:val="none" w:sz="0" w:space="0" w:color="auto"/>
        <w:bottom w:val="none" w:sz="0" w:space="0" w:color="auto"/>
        <w:right w:val="none" w:sz="0" w:space="0" w:color="auto"/>
      </w:divBdr>
    </w:div>
    <w:div w:id="1305354448">
      <w:bodyDiv w:val="1"/>
      <w:marLeft w:val="0"/>
      <w:marRight w:val="0"/>
      <w:marTop w:val="0"/>
      <w:marBottom w:val="0"/>
      <w:divBdr>
        <w:top w:val="none" w:sz="0" w:space="0" w:color="auto"/>
        <w:left w:val="none" w:sz="0" w:space="0" w:color="auto"/>
        <w:bottom w:val="none" w:sz="0" w:space="0" w:color="auto"/>
        <w:right w:val="none" w:sz="0" w:space="0" w:color="auto"/>
      </w:divBdr>
    </w:div>
    <w:div w:id="1329403875">
      <w:bodyDiv w:val="1"/>
      <w:marLeft w:val="0"/>
      <w:marRight w:val="0"/>
      <w:marTop w:val="0"/>
      <w:marBottom w:val="0"/>
      <w:divBdr>
        <w:top w:val="none" w:sz="0" w:space="0" w:color="auto"/>
        <w:left w:val="none" w:sz="0" w:space="0" w:color="auto"/>
        <w:bottom w:val="none" w:sz="0" w:space="0" w:color="auto"/>
        <w:right w:val="none" w:sz="0" w:space="0" w:color="auto"/>
      </w:divBdr>
    </w:div>
    <w:div w:id="1353337904">
      <w:bodyDiv w:val="1"/>
      <w:marLeft w:val="0"/>
      <w:marRight w:val="0"/>
      <w:marTop w:val="0"/>
      <w:marBottom w:val="0"/>
      <w:divBdr>
        <w:top w:val="none" w:sz="0" w:space="0" w:color="auto"/>
        <w:left w:val="none" w:sz="0" w:space="0" w:color="auto"/>
        <w:bottom w:val="none" w:sz="0" w:space="0" w:color="auto"/>
        <w:right w:val="none" w:sz="0" w:space="0" w:color="auto"/>
      </w:divBdr>
    </w:div>
    <w:div w:id="1359310419">
      <w:bodyDiv w:val="1"/>
      <w:marLeft w:val="0"/>
      <w:marRight w:val="0"/>
      <w:marTop w:val="0"/>
      <w:marBottom w:val="0"/>
      <w:divBdr>
        <w:top w:val="none" w:sz="0" w:space="0" w:color="auto"/>
        <w:left w:val="none" w:sz="0" w:space="0" w:color="auto"/>
        <w:bottom w:val="none" w:sz="0" w:space="0" w:color="auto"/>
        <w:right w:val="none" w:sz="0" w:space="0" w:color="auto"/>
      </w:divBdr>
    </w:div>
    <w:div w:id="1440878945">
      <w:bodyDiv w:val="1"/>
      <w:marLeft w:val="0"/>
      <w:marRight w:val="0"/>
      <w:marTop w:val="0"/>
      <w:marBottom w:val="0"/>
      <w:divBdr>
        <w:top w:val="none" w:sz="0" w:space="0" w:color="auto"/>
        <w:left w:val="none" w:sz="0" w:space="0" w:color="auto"/>
        <w:bottom w:val="none" w:sz="0" w:space="0" w:color="auto"/>
        <w:right w:val="none" w:sz="0" w:space="0" w:color="auto"/>
      </w:divBdr>
    </w:div>
    <w:div w:id="1491368899">
      <w:bodyDiv w:val="1"/>
      <w:marLeft w:val="0"/>
      <w:marRight w:val="0"/>
      <w:marTop w:val="0"/>
      <w:marBottom w:val="0"/>
      <w:divBdr>
        <w:top w:val="none" w:sz="0" w:space="0" w:color="auto"/>
        <w:left w:val="none" w:sz="0" w:space="0" w:color="auto"/>
        <w:bottom w:val="none" w:sz="0" w:space="0" w:color="auto"/>
        <w:right w:val="none" w:sz="0" w:space="0" w:color="auto"/>
      </w:divBdr>
    </w:div>
    <w:div w:id="1500736718">
      <w:bodyDiv w:val="1"/>
      <w:marLeft w:val="0"/>
      <w:marRight w:val="0"/>
      <w:marTop w:val="0"/>
      <w:marBottom w:val="0"/>
      <w:divBdr>
        <w:top w:val="none" w:sz="0" w:space="0" w:color="auto"/>
        <w:left w:val="none" w:sz="0" w:space="0" w:color="auto"/>
        <w:bottom w:val="none" w:sz="0" w:space="0" w:color="auto"/>
        <w:right w:val="none" w:sz="0" w:space="0" w:color="auto"/>
      </w:divBdr>
    </w:div>
    <w:div w:id="1516961956">
      <w:bodyDiv w:val="1"/>
      <w:marLeft w:val="0"/>
      <w:marRight w:val="0"/>
      <w:marTop w:val="0"/>
      <w:marBottom w:val="0"/>
      <w:divBdr>
        <w:top w:val="none" w:sz="0" w:space="0" w:color="auto"/>
        <w:left w:val="none" w:sz="0" w:space="0" w:color="auto"/>
        <w:bottom w:val="none" w:sz="0" w:space="0" w:color="auto"/>
        <w:right w:val="none" w:sz="0" w:space="0" w:color="auto"/>
      </w:divBdr>
    </w:div>
    <w:div w:id="1527862387">
      <w:bodyDiv w:val="1"/>
      <w:marLeft w:val="0"/>
      <w:marRight w:val="0"/>
      <w:marTop w:val="0"/>
      <w:marBottom w:val="0"/>
      <w:divBdr>
        <w:top w:val="none" w:sz="0" w:space="0" w:color="auto"/>
        <w:left w:val="none" w:sz="0" w:space="0" w:color="auto"/>
        <w:bottom w:val="none" w:sz="0" w:space="0" w:color="auto"/>
        <w:right w:val="none" w:sz="0" w:space="0" w:color="auto"/>
      </w:divBdr>
    </w:div>
    <w:div w:id="1558860119">
      <w:bodyDiv w:val="1"/>
      <w:marLeft w:val="0"/>
      <w:marRight w:val="0"/>
      <w:marTop w:val="0"/>
      <w:marBottom w:val="0"/>
      <w:divBdr>
        <w:top w:val="none" w:sz="0" w:space="0" w:color="auto"/>
        <w:left w:val="none" w:sz="0" w:space="0" w:color="auto"/>
        <w:bottom w:val="none" w:sz="0" w:space="0" w:color="auto"/>
        <w:right w:val="none" w:sz="0" w:space="0" w:color="auto"/>
      </w:divBdr>
    </w:div>
    <w:div w:id="1579898221">
      <w:bodyDiv w:val="1"/>
      <w:marLeft w:val="0"/>
      <w:marRight w:val="0"/>
      <w:marTop w:val="0"/>
      <w:marBottom w:val="0"/>
      <w:divBdr>
        <w:top w:val="none" w:sz="0" w:space="0" w:color="auto"/>
        <w:left w:val="none" w:sz="0" w:space="0" w:color="auto"/>
        <w:bottom w:val="none" w:sz="0" w:space="0" w:color="auto"/>
        <w:right w:val="none" w:sz="0" w:space="0" w:color="auto"/>
      </w:divBdr>
      <w:divsChild>
        <w:div w:id="237714055">
          <w:marLeft w:val="547"/>
          <w:marRight w:val="0"/>
          <w:marTop w:val="96"/>
          <w:marBottom w:val="0"/>
          <w:divBdr>
            <w:top w:val="none" w:sz="0" w:space="0" w:color="auto"/>
            <w:left w:val="none" w:sz="0" w:space="0" w:color="auto"/>
            <w:bottom w:val="none" w:sz="0" w:space="0" w:color="auto"/>
            <w:right w:val="none" w:sz="0" w:space="0" w:color="auto"/>
          </w:divBdr>
        </w:div>
      </w:divsChild>
    </w:div>
    <w:div w:id="1593931659">
      <w:bodyDiv w:val="1"/>
      <w:marLeft w:val="0"/>
      <w:marRight w:val="0"/>
      <w:marTop w:val="0"/>
      <w:marBottom w:val="0"/>
      <w:divBdr>
        <w:top w:val="none" w:sz="0" w:space="0" w:color="auto"/>
        <w:left w:val="none" w:sz="0" w:space="0" w:color="auto"/>
        <w:bottom w:val="none" w:sz="0" w:space="0" w:color="auto"/>
        <w:right w:val="none" w:sz="0" w:space="0" w:color="auto"/>
      </w:divBdr>
    </w:div>
    <w:div w:id="1607735856">
      <w:bodyDiv w:val="1"/>
      <w:marLeft w:val="0"/>
      <w:marRight w:val="0"/>
      <w:marTop w:val="0"/>
      <w:marBottom w:val="0"/>
      <w:divBdr>
        <w:top w:val="none" w:sz="0" w:space="0" w:color="auto"/>
        <w:left w:val="none" w:sz="0" w:space="0" w:color="auto"/>
        <w:bottom w:val="none" w:sz="0" w:space="0" w:color="auto"/>
        <w:right w:val="none" w:sz="0" w:space="0" w:color="auto"/>
      </w:divBdr>
    </w:div>
    <w:div w:id="1611013505">
      <w:bodyDiv w:val="1"/>
      <w:marLeft w:val="0"/>
      <w:marRight w:val="0"/>
      <w:marTop w:val="0"/>
      <w:marBottom w:val="0"/>
      <w:divBdr>
        <w:top w:val="none" w:sz="0" w:space="0" w:color="auto"/>
        <w:left w:val="none" w:sz="0" w:space="0" w:color="auto"/>
        <w:bottom w:val="none" w:sz="0" w:space="0" w:color="auto"/>
        <w:right w:val="none" w:sz="0" w:space="0" w:color="auto"/>
      </w:divBdr>
    </w:div>
    <w:div w:id="1618175797">
      <w:bodyDiv w:val="1"/>
      <w:marLeft w:val="0"/>
      <w:marRight w:val="0"/>
      <w:marTop w:val="0"/>
      <w:marBottom w:val="0"/>
      <w:divBdr>
        <w:top w:val="none" w:sz="0" w:space="0" w:color="auto"/>
        <w:left w:val="none" w:sz="0" w:space="0" w:color="auto"/>
        <w:bottom w:val="none" w:sz="0" w:space="0" w:color="auto"/>
        <w:right w:val="none" w:sz="0" w:space="0" w:color="auto"/>
      </w:divBdr>
    </w:div>
    <w:div w:id="1665087563">
      <w:bodyDiv w:val="1"/>
      <w:marLeft w:val="0"/>
      <w:marRight w:val="0"/>
      <w:marTop w:val="0"/>
      <w:marBottom w:val="0"/>
      <w:divBdr>
        <w:top w:val="none" w:sz="0" w:space="0" w:color="auto"/>
        <w:left w:val="none" w:sz="0" w:space="0" w:color="auto"/>
        <w:bottom w:val="none" w:sz="0" w:space="0" w:color="auto"/>
        <w:right w:val="none" w:sz="0" w:space="0" w:color="auto"/>
      </w:divBdr>
    </w:div>
    <w:div w:id="1669750945">
      <w:bodyDiv w:val="1"/>
      <w:marLeft w:val="0"/>
      <w:marRight w:val="0"/>
      <w:marTop w:val="0"/>
      <w:marBottom w:val="0"/>
      <w:divBdr>
        <w:top w:val="none" w:sz="0" w:space="0" w:color="auto"/>
        <w:left w:val="none" w:sz="0" w:space="0" w:color="auto"/>
        <w:bottom w:val="none" w:sz="0" w:space="0" w:color="auto"/>
        <w:right w:val="none" w:sz="0" w:space="0" w:color="auto"/>
      </w:divBdr>
    </w:div>
    <w:div w:id="1675716538">
      <w:bodyDiv w:val="1"/>
      <w:marLeft w:val="0"/>
      <w:marRight w:val="0"/>
      <w:marTop w:val="0"/>
      <w:marBottom w:val="0"/>
      <w:divBdr>
        <w:top w:val="none" w:sz="0" w:space="0" w:color="auto"/>
        <w:left w:val="none" w:sz="0" w:space="0" w:color="auto"/>
        <w:bottom w:val="none" w:sz="0" w:space="0" w:color="auto"/>
        <w:right w:val="none" w:sz="0" w:space="0" w:color="auto"/>
      </w:divBdr>
      <w:divsChild>
        <w:div w:id="1753240608">
          <w:marLeft w:val="0"/>
          <w:marRight w:val="0"/>
          <w:marTop w:val="0"/>
          <w:marBottom w:val="0"/>
          <w:divBdr>
            <w:top w:val="none" w:sz="0" w:space="0" w:color="auto"/>
            <w:left w:val="none" w:sz="0" w:space="0" w:color="auto"/>
            <w:bottom w:val="none" w:sz="0" w:space="0" w:color="auto"/>
            <w:right w:val="none" w:sz="0" w:space="0" w:color="auto"/>
          </w:divBdr>
          <w:divsChild>
            <w:div w:id="120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3709">
      <w:bodyDiv w:val="1"/>
      <w:marLeft w:val="0"/>
      <w:marRight w:val="0"/>
      <w:marTop w:val="0"/>
      <w:marBottom w:val="0"/>
      <w:divBdr>
        <w:top w:val="none" w:sz="0" w:space="0" w:color="auto"/>
        <w:left w:val="none" w:sz="0" w:space="0" w:color="auto"/>
        <w:bottom w:val="none" w:sz="0" w:space="0" w:color="auto"/>
        <w:right w:val="none" w:sz="0" w:space="0" w:color="auto"/>
      </w:divBdr>
    </w:div>
    <w:div w:id="1739474852">
      <w:bodyDiv w:val="1"/>
      <w:marLeft w:val="0"/>
      <w:marRight w:val="0"/>
      <w:marTop w:val="0"/>
      <w:marBottom w:val="0"/>
      <w:divBdr>
        <w:top w:val="none" w:sz="0" w:space="0" w:color="auto"/>
        <w:left w:val="none" w:sz="0" w:space="0" w:color="auto"/>
        <w:bottom w:val="none" w:sz="0" w:space="0" w:color="auto"/>
        <w:right w:val="none" w:sz="0" w:space="0" w:color="auto"/>
      </w:divBdr>
    </w:div>
    <w:div w:id="1739791574">
      <w:bodyDiv w:val="1"/>
      <w:marLeft w:val="0"/>
      <w:marRight w:val="0"/>
      <w:marTop w:val="0"/>
      <w:marBottom w:val="0"/>
      <w:divBdr>
        <w:top w:val="none" w:sz="0" w:space="0" w:color="auto"/>
        <w:left w:val="none" w:sz="0" w:space="0" w:color="auto"/>
        <w:bottom w:val="none" w:sz="0" w:space="0" w:color="auto"/>
        <w:right w:val="none" w:sz="0" w:space="0" w:color="auto"/>
      </w:divBdr>
    </w:div>
    <w:div w:id="1741515166">
      <w:bodyDiv w:val="1"/>
      <w:marLeft w:val="0"/>
      <w:marRight w:val="0"/>
      <w:marTop w:val="0"/>
      <w:marBottom w:val="0"/>
      <w:divBdr>
        <w:top w:val="none" w:sz="0" w:space="0" w:color="auto"/>
        <w:left w:val="none" w:sz="0" w:space="0" w:color="auto"/>
        <w:bottom w:val="none" w:sz="0" w:space="0" w:color="auto"/>
        <w:right w:val="none" w:sz="0" w:space="0" w:color="auto"/>
      </w:divBdr>
    </w:div>
    <w:div w:id="1755083301">
      <w:bodyDiv w:val="1"/>
      <w:marLeft w:val="0"/>
      <w:marRight w:val="0"/>
      <w:marTop w:val="0"/>
      <w:marBottom w:val="0"/>
      <w:divBdr>
        <w:top w:val="none" w:sz="0" w:space="0" w:color="auto"/>
        <w:left w:val="none" w:sz="0" w:space="0" w:color="auto"/>
        <w:bottom w:val="none" w:sz="0" w:space="0" w:color="auto"/>
        <w:right w:val="none" w:sz="0" w:space="0" w:color="auto"/>
      </w:divBdr>
    </w:div>
    <w:div w:id="1775661701">
      <w:bodyDiv w:val="1"/>
      <w:marLeft w:val="0"/>
      <w:marRight w:val="0"/>
      <w:marTop w:val="0"/>
      <w:marBottom w:val="0"/>
      <w:divBdr>
        <w:top w:val="none" w:sz="0" w:space="0" w:color="auto"/>
        <w:left w:val="none" w:sz="0" w:space="0" w:color="auto"/>
        <w:bottom w:val="none" w:sz="0" w:space="0" w:color="auto"/>
        <w:right w:val="none" w:sz="0" w:space="0" w:color="auto"/>
      </w:divBdr>
    </w:div>
    <w:div w:id="1805810545">
      <w:bodyDiv w:val="1"/>
      <w:marLeft w:val="0"/>
      <w:marRight w:val="0"/>
      <w:marTop w:val="0"/>
      <w:marBottom w:val="0"/>
      <w:divBdr>
        <w:top w:val="none" w:sz="0" w:space="0" w:color="auto"/>
        <w:left w:val="none" w:sz="0" w:space="0" w:color="auto"/>
        <w:bottom w:val="none" w:sz="0" w:space="0" w:color="auto"/>
        <w:right w:val="none" w:sz="0" w:space="0" w:color="auto"/>
      </w:divBdr>
    </w:div>
    <w:div w:id="1830243451">
      <w:bodyDiv w:val="1"/>
      <w:marLeft w:val="0"/>
      <w:marRight w:val="0"/>
      <w:marTop w:val="0"/>
      <w:marBottom w:val="0"/>
      <w:divBdr>
        <w:top w:val="none" w:sz="0" w:space="0" w:color="auto"/>
        <w:left w:val="none" w:sz="0" w:space="0" w:color="auto"/>
        <w:bottom w:val="none" w:sz="0" w:space="0" w:color="auto"/>
        <w:right w:val="none" w:sz="0" w:space="0" w:color="auto"/>
      </w:divBdr>
      <w:divsChild>
        <w:div w:id="1911961176">
          <w:marLeft w:val="547"/>
          <w:marRight w:val="0"/>
          <w:marTop w:val="86"/>
          <w:marBottom w:val="0"/>
          <w:divBdr>
            <w:top w:val="none" w:sz="0" w:space="0" w:color="auto"/>
            <w:left w:val="none" w:sz="0" w:space="0" w:color="auto"/>
            <w:bottom w:val="none" w:sz="0" w:space="0" w:color="auto"/>
            <w:right w:val="none" w:sz="0" w:space="0" w:color="auto"/>
          </w:divBdr>
        </w:div>
        <w:div w:id="1359969551">
          <w:marLeft w:val="547"/>
          <w:marRight w:val="0"/>
          <w:marTop w:val="86"/>
          <w:marBottom w:val="0"/>
          <w:divBdr>
            <w:top w:val="none" w:sz="0" w:space="0" w:color="auto"/>
            <w:left w:val="none" w:sz="0" w:space="0" w:color="auto"/>
            <w:bottom w:val="none" w:sz="0" w:space="0" w:color="auto"/>
            <w:right w:val="none" w:sz="0" w:space="0" w:color="auto"/>
          </w:divBdr>
        </w:div>
        <w:div w:id="994837407">
          <w:marLeft w:val="547"/>
          <w:marRight w:val="0"/>
          <w:marTop w:val="86"/>
          <w:marBottom w:val="0"/>
          <w:divBdr>
            <w:top w:val="none" w:sz="0" w:space="0" w:color="auto"/>
            <w:left w:val="none" w:sz="0" w:space="0" w:color="auto"/>
            <w:bottom w:val="none" w:sz="0" w:space="0" w:color="auto"/>
            <w:right w:val="none" w:sz="0" w:space="0" w:color="auto"/>
          </w:divBdr>
        </w:div>
        <w:div w:id="710425337">
          <w:marLeft w:val="547"/>
          <w:marRight w:val="0"/>
          <w:marTop w:val="86"/>
          <w:marBottom w:val="0"/>
          <w:divBdr>
            <w:top w:val="none" w:sz="0" w:space="0" w:color="auto"/>
            <w:left w:val="none" w:sz="0" w:space="0" w:color="auto"/>
            <w:bottom w:val="none" w:sz="0" w:space="0" w:color="auto"/>
            <w:right w:val="none" w:sz="0" w:space="0" w:color="auto"/>
          </w:divBdr>
        </w:div>
      </w:divsChild>
    </w:div>
    <w:div w:id="1843353416">
      <w:bodyDiv w:val="1"/>
      <w:marLeft w:val="0"/>
      <w:marRight w:val="0"/>
      <w:marTop w:val="0"/>
      <w:marBottom w:val="0"/>
      <w:divBdr>
        <w:top w:val="none" w:sz="0" w:space="0" w:color="auto"/>
        <w:left w:val="none" w:sz="0" w:space="0" w:color="auto"/>
        <w:bottom w:val="none" w:sz="0" w:space="0" w:color="auto"/>
        <w:right w:val="none" w:sz="0" w:space="0" w:color="auto"/>
      </w:divBdr>
      <w:divsChild>
        <w:div w:id="1395662810">
          <w:marLeft w:val="0"/>
          <w:marRight w:val="0"/>
          <w:marTop w:val="0"/>
          <w:marBottom w:val="0"/>
          <w:divBdr>
            <w:top w:val="none" w:sz="0" w:space="0" w:color="auto"/>
            <w:left w:val="none" w:sz="0" w:space="0" w:color="auto"/>
            <w:bottom w:val="none" w:sz="0" w:space="0" w:color="auto"/>
            <w:right w:val="none" w:sz="0" w:space="0" w:color="auto"/>
          </w:divBdr>
        </w:div>
      </w:divsChild>
    </w:div>
    <w:div w:id="1861163943">
      <w:bodyDiv w:val="1"/>
      <w:marLeft w:val="0"/>
      <w:marRight w:val="0"/>
      <w:marTop w:val="0"/>
      <w:marBottom w:val="0"/>
      <w:divBdr>
        <w:top w:val="none" w:sz="0" w:space="0" w:color="auto"/>
        <w:left w:val="none" w:sz="0" w:space="0" w:color="auto"/>
        <w:bottom w:val="none" w:sz="0" w:space="0" w:color="auto"/>
        <w:right w:val="none" w:sz="0" w:space="0" w:color="auto"/>
      </w:divBdr>
    </w:div>
    <w:div w:id="1963222509">
      <w:bodyDiv w:val="1"/>
      <w:marLeft w:val="0"/>
      <w:marRight w:val="0"/>
      <w:marTop w:val="0"/>
      <w:marBottom w:val="0"/>
      <w:divBdr>
        <w:top w:val="none" w:sz="0" w:space="0" w:color="auto"/>
        <w:left w:val="none" w:sz="0" w:space="0" w:color="auto"/>
        <w:bottom w:val="none" w:sz="0" w:space="0" w:color="auto"/>
        <w:right w:val="none" w:sz="0" w:space="0" w:color="auto"/>
      </w:divBdr>
    </w:div>
    <w:div w:id="2004430900">
      <w:bodyDiv w:val="1"/>
      <w:marLeft w:val="0"/>
      <w:marRight w:val="0"/>
      <w:marTop w:val="0"/>
      <w:marBottom w:val="0"/>
      <w:divBdr>
        <w:top w:val="none" w:sz="0" w:space="0" w:color="auto"/>
        <w:left w:val="none" w:sz="0" w:space="0" w:color="auto"/>
        <w:bottom w:val="none" w:sz="0" w:space="0" w:color="auto"/>
        <w:right w:val="none" w:sz="0" w:space="0" w:color="auto"/>
      </w:divBdr>
    </w:div>
    <w:div w:id="2080395731">
      <w:bodyDiv w:val="1"/>
      <w:marLeft w:val="0"/>
      <w:marRight w:val="0"/>
      <w:marTop w:val="0"/>
      <w:marBottom w:val="0"/>
      <w:divBdr>
        <w:top w:val="none" w:sz="0" w:space="0" w:color="auto"/>
        <w:left w:val="none" w:sz="0" w:space="0" w:color="auto"/>
        <w:bottom w:val="none" w:sz="0" w:space="0" w:color="auto"/>
        <w:right w:val="none" w:sz="0" w:space="0" w:color="auto"/>
      </w:divBdr>
    </w:div>
    <w:div w:id="21194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bioenergy.in.ua/uk/library/korisni-materiali/dorozhnia-karta-z-rozvitku-tverdogo-biopaliva-ukrayin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on3.rada.gov.ua/laws/show/1980-19/paran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zakon2.rada.gov.ua/laws/show/1959-19"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kmu.gov.ua/control/uk/cardnpd?docid=25025045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oenergy.in.ua/uk/library/korisni-materiali/praktichnii-posibnik-vikoristannia-biomasi-u-munitsipalnomu-sekto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zakon2.rada.gov.ua/laws/show/2119-19/print1476017625641734" TargetMode="External"/><Relationship Id="rId27" Type="http://schemas.openxmlformats.org/officeDocument/2006/relationships/fontTable" Target="fontTable.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2018-02-27T15:00:00+00:00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1691</Value>
      <Value>1</Value>
      <Value>763</Value>
    </TaxCatchAll>
    <c4e2ab2cc9354bbf9064eeb465a566ea xmlns="1ed4137b-41b2-488b-8250-6d369ec27664">
      <Terms xmlns="http://schemas.microsoft.com/office/infopath/2007/PartnerControls"/>
    </c4e2ab2cc9354bbf9064eeb465a566ea>
    <UndpProjectNo xmlns="1ed4137b-41b2-488b-8250-6d369ec27664">00074537</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ATLASPDC-4-80638</_dlc_DocId>
    <_dlc_DocIdUrl xmlns="f1161f5b-24a3-4c2d-bc81-44cb9325e8ee">
      <Url>https://info.undp.org/docs/pdc/_layouts/DocIdRedir.aspx?ID=ATLASPDC-4-80638</Url>
      <Description>ATLASPDC-4-80638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1DAD0F-FB2B-4DDF-9CCE-285966E6D53A}">
  <ds:schemaRefs>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77D8F98-9407-4230-9430-F8A9BBCF8B4B}">
  <ds:schemaRefs>
    <ds:schemaRef ds:uri="http://schemas.microsoft.com/sharepoint/v3/contenttype/forms"/>
  </ds:schemaRefs>
</ds:datastoreItem>
</file>

<file path=customXml/itemProps3.xml><?xml version="1.0" encoding="utf-8"?>
<ds:datastoreItem xmlns:ds="http://schemas.openxmlformats.org/officeDocument/2006/customXml" ds:itemID="{8E1C133F-EA35-4EB3-A2E8-F461E7E70BF3}"/>
</file>

<file path=customXml/itemProps4.xml><?xml version="1.0" encoding="utf-8"?>
<ds:datastoreItem xmlns:ds="http://schemas.openxmlformats.org/officeDocument/2006/customXml" ds:itemID="{1518CABC-1056-4D21-8661-16A05790D333}">
  <ds:schemaRefs>
    <ds:schemaRef ds:uri="http://schemas.openxmlformats.org/officeDocument/2006/bibliography"/>
  </ds:schemaRefs>
</ds:datastoreItem>
</file>

<file path=customXml/itemProps5.xml><?xml version="1.0" encoding="utf-8"?>
<ds:datastoreItem xmlns:ds="http://schemas.openxmlformats.org/officeDocument/2006/customXml" ds:itemID="{55492409-126B-4881-9806-4D69FC205981}"/>
</file>

<file path=customXml/itemProps6.xml><?xml version="1.0" encoding="utf-8"?>
<ds:datastoreItem xmlns:ds="http://schemas.openxmlformats.org/officeDocument/2006/customXml" ds:itemID="{70770167-F12A-4FC7-A3DF-61448E66B093}"/>
</file>

<file path=docProps/app.xml><?xml version="1.0" encoding="utf-8"?>
<Properties xmlns="http://schemas.openxmlformats.org/officeDocument/2006/extended-properties" xmlns:vt="http://schemas.openxmlformats.org/officeDocument/2006/docPropsVTypes">
  <Template>Normal</Template>
  <TotalTime>1</TotalTime>
  <Pages>24</Pages>
  <Words>10053</Words>
  <Characters>57306</Characters>
  <Application>Microsoft Office Word</Application>
  <DocSecurity>4</DocSecurity>
  <Lines>477</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Biomass Project Progress Report 2017</vt:lpstr>
      <vt:lpstr>Format for Progress Report</vt:lpstr>
    </vt:vector>
  </TitlesOfParts>
  <Company>UN office</Company>
  <LinksUpToDate>false</LinksUpToDate>
  <CharactersWithSpaces>67225</CharactersWithSpaces>
  <SharedDoc>false</SharedDoc>
  <HLinks>
    <vt:vector size="108" baseType="variant">
      <vt:variant>
        <vt:i4>1179702</vt:i4>
      </vt:variant>
      <vt:variant>
        <vt:i4>104</vt:i4>
      </vt:variant>
      <vt:variant>
        <vt:i4>0</vt:i4>
      </vt:variant>
      <vt:variant>
        <vt:i4>5</vt:i4>
      </vt:variant>
      <vt:variant>
        <vt:lpwstr/>
      </vt:variant>
      <vt:variant>
        <vt:lpwstr>_Toc334627371</vt:lpwstr>
      </vt:variant>
      <vt:variant>
        <vt:i4>1179702</vt:i4>
      </vt:variant>
      <vt:variant>
        <vt:i4>98</vt:i4>
      </vt:variant>
      <vt:variant>
        <vt:i4>0</vt:i4>
      </vt:variant>
      <vt:variant>
        <vt:i4>5</vt:i4>
      </vt:variant>
      <vt:variant>
        <vt:lpwstr/>
      </vt:variant>
      <vt:variant>
        <vt:lpwstr>_Toc334627370</vt:lpwstr>
      </vt:variant>
      <vt:variant>
        <vt:i4>1245238</vt:i4>
      </vt:variant>
      <vt:variant>
        <vt:i4>92</vt:i4>
      </vt:variant>
      <vt:variant>
        <vt:i4>0</vt:i4>
      </vt:variant>
      <vt:variant>
        <vt:i4>5</vt:i4>
      </vt:variant>
      <vt:variant>
        <vt:lpwstr/>
      </vt:variant>
      <vt:variant>
        <vt:lpwstr>_Toc334627369</vt:lpwstr>
      </vt:variant>
      <vt:variant>
        <vt:i4>1245238</vt:i4>
      </vt:variant>
      <vt:variant>
        <vt:i4>86</vt:i4>
      </vt:variant>
      <vt:variant>
        <vt:i4>0</vt:i4>
      </vt:variant>
      <vt:variant>
        <vt:i4>5</vt:i4>
      </vt:variant>
      <vt:variant>
        <vt:lpwstr/>
      </vt:variant>
      <vt:variant>
        <vt:lpwstr>_Toc334627368</vt:lpwstr>
      </vt:variant>
      <vt:variant>
        <vt:i4>1245238</vt:i4>
      </vt:variant>
      <vt:variant>
        <vt:i4>80</vt:i4>
      </vt:variant>
      <vt:variant>
        <vt:i4>0</vt:i4>
      </vt:variant>
      <vt:variant>
        <vt:i4>5</vt:i4>
      </vt:variant>
      <vt:variant>
        <vt:lpwstr/>
      </vt:variant>
      <vt:variant>
        <vt:lpwstr>_Toc334627367</vt:lpwstr>
      </vt:variant>
      <vt:variant>
        <vt:i4>1245238</vt:i4>
      </vt:variant>
      <vt:variant>
        <vt:i4>74</vt:i4>
      </vt:variant>
      <vt:variant>
        <vt:i4>0</vt:i4>
      </vt:variant>
      <vt:variant>
        <vt:i4>5</vt:i4>
      </vt:variant>
      <vt:variant>
        <vt:lpwstr/>
      </vt:variant>
      <vt:variant>
        <vt:lpwstr>_Toc334627366</vt:lpwstr>
      </vt:variant>
      <vt:variant>
        <vt:i4>1245238</vt:i4>
      </vt:variant>
      <vt:variant>
        <vt:i4>68</vt:i4>
      </vt:variant>
      <vt:variant>
        <vt:i4>0</vt:i4>
      </vt:variant>
      <vt:variant>
        <vt:i4>5</vt:i4>
      </vt:variant>
      <vt:variant>
        <vt:lpwstr/>
      </vt:variant>
      <vt:variant>
        <vt:lpwstr>_Toc334627365</vt:lpwstr>
      </vt:variant>
      <vt:variant>
        <vt:i4>1245238</vt:i4>
      </vt:variant>
      <vt:variant>
        <vt:i4>62</vt:i4>
      </vt:variant>
      <vt:variant>
        <vt:i4>0</vt:i4>
      </vt:variant>
      <vt:variant>
        <vt:i4>5</vt:i4>
      </vt:variant>
      <vt:variant>
        <vt:lpwstr/>
      </vt:variant>
      <vt:variant>
        <vt:lpwstr>_Toc334627364</vt:lpwstr>
      </vt:variant>
      <vt:variant>
        <vt:i4>1245238</vt:i4>
      </vt:variant>
      <vt:variant>
        <vt:i4>56</vt:i4>
      </vt:variant>
      <vt:variant>
        <vt:i4>0</vt:i4>
      </vt:variant>
      <vt:variant>
        <vt:i4>5</vt:i4>
      </vt:variant>
      <vt:variant>
        <vt:lpwstr/>
      </vt:variant>
      <vt:variant>
        <vt:lpwstr>_Toc334627363</vt:lpwstr>
      </vt:variant>
      <vt:variant>
        <vt:i4>1245238</vt:i4>
      </vt:variant>
      <vt:variant>
        <vt:i4>50</vt:i4>
      </vt:variant>
      <vt:variant>
        <vt:i4>0</vt:i4>
      </vt:variant>
      <vt:variant>
        <vt:i4>5</vt:i4>
      </vt:variant>
      <vt:variant>
        <vt:lpwstr/>
      </vt:variant>
      <vt:variant>
        <vt:lpwstr>_Toc334627362</vt:lpwstr>
      </vt:variant>
      <vt:variant>
        <vt:i4>1245238</vt:i4>
      </vt:variant>
      <vt:variant>
        <vt:i4>44</vt:i4>
      </vt:variant>
      <vt:variant>
        <vt:i4>0</vt:i4>
      </vt:variant>
      <vt:variant>
        <vt:i4>5</vt:i4>
      </vt:variant>
      <vt:variant>
        <vt:lpwstr/>
      </vt:variant>
      <vt:variant>
        <vt:lpwstr>_Toc334627361</vt:lpwstr>
      </vt:variant>
      <vt:variant>
        <vt:i4>1245238</vt:i4>
      </vt:variant>
      <vt:variant>
        <vt:i4>38</vt:i4>
      </vt:variant>
      <vt:variant>
        <vt:i4>0</vt:i4>
      </vt:variant>
      <vt:variant>
        <vt:i4>5</vt:i4>
      </vt:variant>
      <vt:variant>
        <vt:lpwstr/>
      </vt:variant>
      <vt:variant>
        <vt:lpwstr>_Toc334627360</vt:lpwstr>
      </vt:variant>
      <vt:variant>
        <vt:i4>1048630</vt:i4>
      </vt:variant>
      <vt:variant>
        <vt:i4>32</vt:i4>
      </vt:variant>
      <vt:variant>
        <vt:i4>0</vt:i4>
      </vt:variant>
      <vt:variant>
        <vt:i4>5</vt:i4>
      </vt:variant>
      <vt:variant>
        <vt:lpwstr/>
      </vt:variant>
      <vt:variant>
        <vt:lpwstr>_Toc334627359</vt:lpwstr>
      </vt:variant>
      <vt:variant>
        <vt:i4>1048630</vt:i4>
      </vt:variant>
      <vt:variant>
        <vt:i4>26</vt:i4>
      </vt:variant>
      <vt:variant>
        <vt:i4>0</vt:i4>
      </vt:variant>
      <vt:variant>
        <vt:i4>5</vt:i4>
      </vt:variant>
      <vt:variant>
        <vt:lpwstr/>
      </vt:variant>
      <vt:variant>
        <vt:lpwstr>_Toc334627358</vt:lpwstr>
      </vt:variant>
      <vt:variant>
        <vt:i4>1048630</vt:i4>
      </vt:variant>
      <vt:variant>
        <vt:i4>20</vt:i4>
      </vt:variant>
      <vt:variant>
        <vt:i4>0</vt:i4>
      </vt:variant>
      <vt:variant>
        <vt:i4>5</vt:i4>
      </vt:variant>
      <vt:variant>
        <vt:lpwstr/>
      </vt:variant>
      <vt:variant>
        <vt:lpwstr>_Toc334627357</vt:lpwstr>
      </vt:variant>
      <vt:variant>
        <vt:i4>1048630</vt:i4>
      </vt:variant>
      <vt:variant>
        <vt:i4>14</vt:i4>
      </vt:variant>
      <vt:variant>
        <vt:i4>0</vt:i4>
      </vt:variant>
      <vt:variant>
        <vt:i4>5</vt:i4>
      </vt:variant>
      <vt:variant>
        <vt:lpwstr/>
      </vt:variant>
      <vt:variant>
        <vt:lpwstr>_Toc334627356</vt:lpwstr>
      </vt:variant>
      <vt:variant>
        <vt:i4>1048630</vt:i4>
      </vt:variant>
      <vt:variant>
        <vt:i4>8</vt:i4>
      </vt:variant>
      <vt:variant>
        <vt:i4>0</vt:i4>
      </vt:variant>
      <vt:variant>
        <vt:i4>5</vt:i4>
      </vt:variant>
      <vt:variant>
        <vt:lpwstr/>
      </vt:variant>
      <vt:variant>
        <vt:lpwstr>_Toc334627355</vt:lpwstr>
      </vt:variant>
      <vt:variant>
        <vt:i4>1048630</vt:i4>
      </vt:variant>
      <vt:variant>
        <vt:i4>2</vt:i4>
      </vt:variant>
      <vt:variant>
        <vt:i4>0</vt:i4>
      </vt:variant>
      <vt:variant>
        <vt:i4>5</vt:i4>
      </vt:variant>
      <vt:variant>
        <vt:lpwstr/>
      </vt:variant>
      <vt:variant>
        <vt:lpwstr>_Toc334627354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Biomass Project Progress Report 2017</dc:title>
  <dc:subject/>
  <dc:creator/>
  <cp:lastModifiedBy>Olena Novobranets</cp:lastModifiedBy>
  <cp:revision>2</cp:revision>
  <cp:lastPrinted>2015-01-05T20:11:00Z</cp:lastPrinted>
  <dcterms:created xsi:type="dcterms:W3CDTF">2018-02-27T15:05:00Z</dcterms:created>
  <dcterms:modified xsi:type="dcterms:W3CDTF">2018-02-27T15:05:00Z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fa50961a-568c-4052-ba92-7d03f8e0afb5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